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27"/>
        <w:jc w:val="center"/>
        <w:rPr>
          <w:rFonts w:hint="eastAsia" w:ascii="楷体" w:hAnsi="楷体" w:eastAsia="楷体" w:cs="楷体"/>
          <w:b/>
          <w:sz w:val="28"/>
          <w:szCs w:val="28"/>
        </w:rPr>
      </w:pPr>
      <w:bookmarkStart w:id="0" w:name="_Hlk48643764"/>
    </w:p>
    <w:p>
      <w:pPr>
        <w:spacing w:line="360" w:lineRule="auto"/>
        <w:ind w:firstLine="610"/>
        <w:jc w:val="both"/>
        <w:rPr>
          <w:rFonts w:hint="eastAsia" w:ascii="宋体" w:hAnsi="宋体"/>
          <w:b/>
          <w:sz w:val="40"/>
          <w:szCs w:val="22"/>
        </w:rPr>
      </w:pPr>
    </w:p>
    <w:p>
      <w:pPr>
        <w:spacing w:line="360" w:lineRule="auto"/>
        <w:ind w:left="-600" w:leftChars="-300" w:firstLine="440" w:firstLineChars="100"/>
        <w:jc w:val="center"/>
        <w:rPr>
          <w:rFonts w:ascii="宋体" w:hAnsi="宋体"/>
          <w:b/>
          <w:sz w:val="44"/>
          <w:szCs w:val="24"/>
        </w:rPr>
      </w:pPr>
      <w:r>
        <w:rPr>
          <w:rFonts w:hint="eastAsia" w:ascii="宋体" w:hAnsi="宋体"/>
          <w:b/>
          <w:sz w:val="44"/>
          <w:szCs w:val="24"/>
        </w:rPr>
        <w:t>海原县困难残疾人家庭“一家一年一事”</w:t>
      </w:r>
    </w:p>
    <w:p>
      <w:pPr>
        <w:spacing w:line="360" w:lineRule="auto"/>
        <w:ind w:left="-600" w:leftChars="-300" w:firstLine="440" w:firstLineChars="100"/>
        <w:jc w:val="center"/>
        <w:rPr>
          <w:rFonts w:hint="eastAsia" w:ascii="宋体" w:hAnsi="宋体"/>
          <w:b/>
          <w:sz w:val="44"/>
          <w:szCs w:val="24"/>
        </w:rPr>
      </w:pPr>
      <w:r>
        <w:rPr>
          <w:rFonts w:hint="eastAsia" w:ascii="宋体" w:hAnsi="宋体"/>
          <w:b/>
          <w:sz w:val="44"/>
          <w:szCs w:val="24"/>
        </w:rPr>
        <w:t>帮扶解困行动项目绩效评价报告</w:t>
      </w:r>
    </w:p>
    <w:p>
      <w:pPr>
        <w:spacing w:line="360" w:lineRule="auto"/>
        <w:ind w:firstLine="610"/>
        <w:jc w:val="center"/>
        <w:rPr>
          <w:rFonts w:hint="eastAsia" w:ascii="宋体" w:hAnsi="宋体"/>
          <w:b/>
          <w:sz w:val="40"/>
          <w:szCs w:val="22"/>
        </w:rPr>
      </w:pPr>
    </w:p>
    <w:p>
      <w:pPr>
        <w:spacing w:before="156" w:beforeLines="50" w:after="156" w:afterLines="50"/>
        <w:ind w:firstLine="366"/>
        <w:jc w:val="center"/>
        <w:rPr>
          <w:rFonts w:hint="eastAsia" w:ascii="楷体" w:hAnsi="楷体" w:eastAsia="楷体"/>
          <w:b/>
          <w:smallCaps/>
          <w:sz w:val="48"/>
          <w:szCs w:val="48"/>
        </w:rPr>
      </w:pPr>
    </w:p>
    <w:p>
      <w:pPr>
        <w:snapToGrid w:val="0"/>
        <w:spacing w:line="800" w:lineRule="exact"/>
        <w:ind w:firstLine="671"/>
        <w:jc w:val="center"/>
        <w:rPr>
          <w:rFonts w:hint="eastAsia" w:ascii="楷体" w:hAnsi="楷体" w:eastAsia="楷体" w:cs="楷体"/>
          <w:b/>
          <w:sz w:val="44"/>
          <w:szCs w:val="44"/>
        </w:rPr>
      </w:pPr>
    </w:p>
    <w:bookmarkEnd w:id="0"/>
    <w:p>
      <w:pPr>
        <w:spacing w:before="156" w:beforeLines="50" w:after="156" w:afterLines="50"/>
        <w:ind w:firstLine="427"/>
        <w:jc w:val="center"/>
        <w:rPr>
          <w:rFonts w:hint="eastAsia" w:ascii="楷体" w:hAnsi="楷体" w:eastAsia="楷体" w:cs="楷体"/>
          <w:b/>
          <w:smallCaps/>
          <w:sz w:val="28"/>
          <w:szCs w:val="28"/>
        </w:rPr>
      </w:pPr>
    </w:p>
    <w:p>
      <w:pPr>
        <w:spacing w:line="560" w:lineRule="exact"/>
        <w:jc w:val="center"/>
        <w:rPr>
          <w:rFonts w:hint="eastAsia" w:ascii="楷体" w:hAnsi="楷体" w:eastAsia="楷体" w:cs="楷体"/>
          <w:sz w:val="28"/>
          <w:szCs w:val="28"/>
        </w:rPr>
      </w:pPr>
    </w:p>
    <w:p>
      <w:pPr>
        <w:rPr>
          <w:rFonts w:hint="eastAsia" w:ascii="楷体" w:hAnsi="楷体" w:eastAsia="楷体" w:cs="楷体"/>
          <w:sz w:val="28"/>
          <w:szCs w:val="28"/>
        </w:rPr>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1"/>
        <w:ind w:firstLine="274"/>
      </w:pPr>
    </w:p>
    <w:p>
      <w:pPr>
        <w:pStyle w:val="24"/>
        <w:adjustRightInd w:val="0"/>
        <w:snapToGrid w:val="0"/>
        <w:spacing w:before="156" w:beforeAutospacing="0" w:after="156" w:afterAutospacing="0" w:line="360" w:lineRule="auto"/>
        <w:ind w:right="40" w:firstLine="486"/>
        <w:jc w:val="center"/>
        <w:textAlignment w:val="baseline"/>
        <w:rPr>
          <w:rFonts w:ascii="Arial Black" w:hAnsi="Arial Black"/>
          <w:color w:val="4A442A"/>
          <w:kern w:val="24"/>
          <w:sz w:val="28"/>
          <w:szCs w:val="28"/>
        </w:rPr>
      </w:pPr>
      <w:r>
        <w:rPr>
          <w:rFonts w:hint="eastAsia" w:ascii="微软雅黑" w:hAnsi="微软雅黑" w:eastAsia="微软雅黑"/>
          <w:b/>
          <w:color w:val="4A442A"/>
          <w:kern w:val="24"/>
          <w:sz w:val="32"/>
          <w:szCs w:val="32"/>
          <w:lang w:val="en-US" w:eastAsia="zh-CN"/>
        </w:rPr>
        <w:t>海原县残疾人联合会</w:t>
      </w:r>
    </w:p>
    <w:p>
      <w:pPr>
        <w:snapToGrid w:val="0"/>
        <w:ind w:firstLine="486"/>
        <w:jc w:val="center"/>
        <w:rPr>
          <w:rFonts w:ascii="方正仿宋_GB2312" w:eastAsia="方正仿宋_GB2312" w:cs="Arial"/>
          <w:b/>
          <w:sz w:val="24"/>
        </w:rPr>
      </w:pPr>
      <w:r>
        <w:rPr>
          <w:rFonts w:ascii="微软雅黑" w:hAnsi="微软雅黑" w:eastAsia="微软雅黑"/>
          <w:b/>
          <w:color w:val="4A442A"/>
          <w:kern w:val="24"/>
          <w:sz w:val="32"/>
          <w:szCs w:val="32"/>
        </w:rPr>
        <w:t>20</w:t>
      </w:r>
      <w:r>
        <w:rPr>
          <w:rFonts w:hint="eastAsia" w:ascii="微软雅黑" w:hAnsi="微软雅黑" w:eastAsia="微软雅黑"/>
          <w:b/>
          <w:color w:val="4A442A"/>
          <w:kern w:val="24"/>
          <w:sz w:val="32"/>
          <w:szCs w:val="32"/>
        </w:rPr>
        <w:t>25</w:t>
      </w:r>
      <w:r>
        <w:rPr>
          <w:rFonts w:ascii="微软雅黑" w:hAnsi="微软雅黑" w:eastAsia="微软雅黑"/>
          <w:b/>
          <w:color w:val="4A442A"/>
          <w:kern w:val="24"/>
          <w:sz w:val="32"/>
          <w:szCs w:val="32"/>
        </w:rPr>
        <w:t>年</w:t>
      </w:r>
      <w:r>
        <w:rPr>
          <w:rFonts w:hint="eastAsia" w:ascii="微软雅黑" w:hAnsi="微软雅黑" w:eastAsia="微软雅黑"/>
          <w:b/>
          <w:color w:val="4A442A"/>
          <w:kern w:val="24"/>
          <w:sz w:val="32"/>
          <w:szCs w:val="32"/>
          <w:lang w:val="en-US" w:eastAsia="zh-CN"/>
        </w:rPr>
        <w:t>12</w:t>
      </w:r>
      <w:r>
        <w:rPr>
          <w:rFonts w:ascii="微软雅黑" w:hAnsi="微软雅黑" w:eastAsia="微软雅黑"/>
          <w:b/>
          <w:color w:val="4A442A"/>
          <w:kern w:val="24"/>
          <w:sz w:val="32"/>
          <w:szCs w:val="32"/>
        </w:rPr>
        <w:t>月</w:t>
      </w:r>
    </w:p>
    <w:p>
      <w:pPr>
        <w:pStyle w:val="21"/>
        <w:ind w:firstLine="274"/>
      </w:pPr>
    </w:p>
    <w:p>
      <w:pPr>
        <w:pStyle w:val="21"/>
        <w:ind w:firstLine="274"/>
      </w:pPr>
    </w:p>
    <w:p>
      <w:pPr>
        <w:pStyle w:val="25"/>
        <w:rPr>
          <w:rFonts w:hint="eastAsia"/>
        </w:rPr>
      </w:pPr>
    </w:p>
    <w:p>
      <w:pPr>
        <w:pStyle w:val="25"/>
        <w:rPr>
          <w:rFonts w:hint="eastAsia"/>
        </w:rPr>
      </w:pPr>
    </w:p>
    <w:p>
      <w:pPr>
        <w:pStyle w:val="25"/>
        <w:jc w:val="both"/>
        <w:rPr>
          <w:rFonts w:hint="eastAsia"/>
        </w:rPr>
      </w:pPr>
    </w:p>
    <w:p>
      <w:pPr>
        <w:pStyle w:val="25"/>
        <w:rPr>
          <w:rFonts w:hint="eastAsia"/>
        </w:rPr>
      </w:pPr>
    </w:p>
    <w:p>
      <w:pPr>
        <w:pStyle w:val="25"/>
        <w:rPr>
          <w:rFonts w:hint="eastAsia"/>
        </w:rPr>
      </w:pPr>
      <w:r>
        <w:rPr>
          <w:rFonts w:hint="eastAsia"/>
        </w:rPr>
        <w:t>目 录</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摘要--------------------------------------------------01-03</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一、项目概况------------------------------------------04-10</w:t>
      </w:r>
    </w:p>
    <w:p>
      <w:pPr>
        <w:pStyle w:val="20"/>
        <w:spacing w:before="156" w:after="156" w:line="360" w:lineRule="auto"/>
        <w:ind w:firstLine="560" w:firstLineChars="200"/>
        <w:rPr>
          <w:rFonts w:hint="eastAsia" w:ascii="楷体" w:hAnsi="楷体" w:eastAsia="楷体" w:cs="楷体"/>
          <w:b w:val="0"/>
          <w:sz w:val="28"/>
          <w:szCs w:val="28"/>
        </w:rPr>
      </w:pPr>
      <w:r>
        <w:rPr>
          <w:rFonts w:hint="eastAsia" w:ascii="楷体" w:hAnsi="楷体" w:eastAsia="楷体" w:cs="楷体"/>
          <w:b w:val="0"/>
          <w:sz w:val="28"/>
          <w:szCs w:val="28"/>
        </w:rPr>
        <w:t>（一）项目背景------------------------------------04-05</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（二）项目主要内容和实施情况----------------------05-08</w:t>
      </w:r>
    </w:p>
    <w:p>
      <w:pPr>
        <w:pStyle w:val="20"/>
        <w:spacing w:before="156" w:after="156" w:line="360" w:lineRule="auto"/>
        <w:ind w:left="556" w:leftChars="278"/>
        <w:rPr>
          <w:rFonts w:hint="eastAsia" w:ascii="楷体" w:hAnsi="楷体" w:eastAsia="楷体" w:cs="楷体"/>
          <w:b w:val="0"/>
          <w:sz w:val="28"/>
          <w:szCs w:val="28"/>
        </w:rPr>
      </w:pPr>
      <w:r>
        <w:rPr>
          <w:rFonts w:hint="eastAsia" w:ascii="楷体" w:hAnsi="楷体" w:eastAsia="楷体" w:cs="楷体"/>
          <w:b w:val="0"/>
          <w:sz w:val="28"/>
          <w:szCs w:val="28"/>
        </w:rPr>
        <w:t>（三）项目投入资金和使用情况----------------------08-09</w:t>
      </w:r>
    </w:p>
    <w:p>
      <w:pPr>
        <w:pStyle w:val="20"/>
        <w:spacing w:before="156" w:after="156" w:line="360" w:lineRule="auto"/>
        <w:ind w:firstLine="560" w:firstLineChars="200"/>
        <w:rPr>
          <w:rFonts w:hint="eastAsia" w:eastAsia="楷体"/>
        </w:rPr>
      </w:pPr>
      <w:r>
        <w:rPr>
          <w:rFonts w:hint="eastAsia" w:ascii="楷体" w:hAnsi="楷体" w:eastAsia="楷体" w:cs="楷体"/>
          <w:b w:val="0"/>
          <w:sz w:val="28"/>
          <w:szCs w:val="28"/>
        </w:rPr>
        <w:t>（四）项目绩效目标--------------------------------09-10</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二、绩效评价工作开展情况------------------------------10-15</w:t>
      </w:r>
    </w:p>
    <w:p>
      <w:pPr>
        <w:pStyle w:val="20"/>
        <w:spacing w:before="156" w:after="156" w:line="360" w:lineRule="auto"/>
        <w:ind w:firstLine="560" w:firstLineChars="200"/>
        <w:rPr>
          <w:rFonts w:hint="eastAsia" w:ascii="楷体" w:hAnsi="楷体" w:eastAsia="楷体" w:cs="楷体"/>
          <w:b w:val="0"/>
          <w:sz w:val="28"/>
          <w:szCs w:val="28"/>
        </w:rPr>
      </w:pPr>
      <w:r>
        <w:rPr>
          <w:rFonts w:hint="eastAsia" w:ascii="楷体" w:hAnsi="楷体" w:eastAsia="楷体" w:cs="楷体"/>
          <w:b w:val="0"/>
          <w:sz w:val="28"/>
          <w:szCs w:val="28"/>
        </w:rPr>
        <w:t>（一）评价目的------------------------------------10-10</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（二）评价依据------------------------------------10-10</w:t>
      </w:r>
    </w:p>
    <w:p>
      <w:pPr>
        <w:pStyle w:val="20"/>
        <w:spacing w:before="156" w:after="156" w:line="360" w:lineRule="auto"/>
        <w:ind w:left="556" w:leftChars="278"/>
        <w:rPr>
          <w:rFonts w:eastAsia="楷体"/>
        </w:rPr>
      </w:pPr>
      <w:r>
        <w:rPr>
          <w:rFonts w:hint="eastAsia" w:ascii="楷体" w:hAnsi="楷体" w:eastAsia="楷体" w:cs="楷体"/>
          <w:b w:val="0"/>
          <w:sz w:val="28"/>
          <w:szCs w:val="28"/>
        </w:rPr>
        <w:t>（三）评价的对象和范围----------------------------10-10</w:t>
      </w:r>
    </w:p>
    <w:p>
      <w:pPr>
        <w:pStyle w:val="20"/>
        <w:spacing w:before="156" w:after="156" w:line="360" w:lineRule="auto"/>
        <w:ind w:firstLine="560" w:firstLineChars="200"/>
        <w:rPr>
          <w:rFonts w:hint="eastAsia" w:ascii="楷体" w:hAnsi="楷体" w:eastAsia="楷体" w:cs="楷体"/>
          <w:b w:val="0"/>
          <w:sz w:val="28"/>
          <w:szCs w:val="28"/>
        </w:rPr>
      </w:pPr>
      <w:r>
        <w:rPr>
          <w:rFonts w:hint="eastAsia" w:ascii="楷体" w:hAnsi="楷体" w:eastAsia="楷体" w:cs="楷体"/>
          <w:b w:val="0"/>
          <w:sz w:val="28"/>
          <w:szCs w:val="28"/>
        </w:rPr>
        <w:t>（四）评价方案制定--------------------------------11-11</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（五）绩效评价体系--------------------------------11-14</w:t>
      </w:r>
    </w:p>
    <w:p>
      <w:pPr>
        <w:pStyle w:val="20"/>
        <w:spacing w:before="156" w:after="156" w:line="360" w:lineRule="auto"/>
        <w:ind w:left="556" w:leftChars="278"/>
        <w:rPr>
          <w:rFonts w:hint="eastAsia" w:ascii="楷体" w:hAnsi="楷体" w:eastAsia="楷体" w:cs="楷体"/>
          <w:b w:val="0"/>
          <w:sz w:val="28"/>
          <w:szCs w:val="28"/>
        </w:rPr>
      </w:pPr>
      <w:r>
        <w:rPr>
          <w:rFonts w:hint="eastAsia" w:ascii="楷体" w:hAnsi="楷体" w:eastAsia="楷体" w:cs="楷体"/>
          <w:b w:val="0"/>
          <w:sz w:val="28"/>
          <w:szCs w:val="28"/>
        </w:rPr>
        <w:t>（六）绩效评价实施情况----------------------------14-15</w:t>
      </w:r>
    </w:p>
    <w:p>
      <w:pPr>
        <w:pStyle w:val="20"/>
        <w:spacing w:before="156" w:after="156" w:line="360" w:lineRule="auto"/>
        <w:rPr>
          <w:rFonts w:hint="eastAsia" w:ascii="楷体" w:hAnsi="楷体" w:eastAsia="楷体" w:cs="楷体"/>
          <w:b w:val="0"/>
          <w:color w:val="0000FF"/>
          <w:sz w:val="28"/>
          <w:szCs w:val="28"/>
        </w:rPr>
      </w:pPr>
      <w:r>
        <w:rPr>
          <w:rFonts w:hint="eastAsia" w:ascii="楷体" w:hAnsi="楷体" w:eastAsia="楷体" w:cs="楷体"/>
          <w:b w:val="0"/>
          <w:sz w:val="28"/>
          <w:szCs w:val="28"/>
        </w:rPr>
        <w:t>三、综合评价情况及评价结论----------------------------15-17</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（一）评价得分过程--------------------------------15-16</w:t>
      </w:r>
    </w:p>
    <w:p>
      <w:pPr>
        <w:pStyle w:val="20"/>
        <w:spacing w:before="156" w:after="156" w:line="360" w:lineRule="auto"/>
        <w:ind w:left="556" w:leftChars="278"/>
        <w:rPr>
          <w:rFonts w:hint="eastAsia" w:ascii="楷体" w:hAnsi="楷体" w:eastAsia="楷体" w:cs="楷体"/>
          <w:b w:val="0"/>
          <w:sz w:val="28"/>
          <w:szCs w:val="28"/>
        </w:rPr>
      </w:pPr>
      <w:r>
        <w:rPr>
          <w:rFonts w:hint="eastAsia" w:ascii="楷体" w:hAnsi="楷体" w:eastAsia="楷体" w:cs="楷体"/>
          <w:b w:val="0"/>
          <w:sz w:val="28"/>
          <w:szCs w:val="28"/>
        </w:rPr>
        <w:t>（二）综合评价结论--------------------------------16-17</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四、绩效评价指标分析----------------------------------17-23</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（一）项目决策情况--------------------------------17-18</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（二）项目实施过程情况----------------------------18-20</w:t>
      </w:r>
    </w:p>
    <w:p>
      <w:pPr>
        <w:pStyle w:val="20"/>
        <w:spacing w:before="156" w:after="156" w:line="360" w:lineRule="auto"/>
        <w:ind w:left="556" w:leftChars="278"/>
        <w:rPr>
          <w:rFonts w:ascii="楷体" w:hAnsi="楷体" w:eastAsia="楷体" w:cs="楷体"/>
          <w:b w:val="0"/>
          <w:sz w:val="28"/>
          <w:szCs w:val="28"/>
        </w:rPr>
      </w:pPr>
      <w:r>
        <w:rPr>
          <w:rFonts w:hint="eastAsia" w:ascii="楷体" w:hAnsi="楷体" w:eastAsia="楷体" w:cs="楷体"/>
          <w:b w:val="0"/>
          <w:sz w:val="28"/>
          <w:szCs w:val="28"/>
        </w:rPr>
        <w:t>（三）项目产出情况--------------------------------20-21</w:t>
      </w:r>
    </w:p>
    <w:p>
      <w:pPr>
        <w:pStyle w:val="20"/>
        <w:spacing w:before="156" w:after="156" w:line="360" w:lineRule="auto"/>
        <w:ind w:left="556" w:leftChars="278"/>
        <w:rPr>
          <w:rFonts w:hint="eastAsia" w:ascii="楷体" w:hAnsi="楷体" w:eastAsia="楷体" w:cs="楷体"/>
          <w:b w:val="0"/>
          <w:sz w:val="28"/>
          <w:szCs w:val="28"/>
        </w:rPr>
      </w:pPr>
      <w:r>
        <w:rPr>
          <w:rFonts w:hint="eastAsia" w:ascii="楷体" w:hAnsi="楷体" w:eastAsia="楷体" w:cs="楷体"/>
          <w:b w:val="0"/>
          <w:sz w:val="28"/>
          <w:szCs w:val="28"/>
        </w:rPr>
        <w:t>（四）项目效益情况--------------------------------21-23</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五、主要经验及做法、存在的问题及原因分析--------------23-24</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六、评价责任------------------------------------------24-24</w:t>
      </w:r>
    </w:p>
    <w:p>
      <w:pPr>
        <w:pStyle w:val="20"/>
        <w:spacing w:before="156" w:after="156" w:line="360" w:lineRule="auto"/>
        <w:rPr>
          <w:rFonts w:hint="eastAsia" w:ascii="楷体" w:hAnsi="楷体" w:eastAsia="楷体" w:cs="楷体"/>
          <w:b w:val="0"/>
          <w:sz w:val="28"/>
          <w:szCs w:val="28"/>
        </w:rPr>
      </w:pPr>
      <w:r>
        <w:rPr>
          <w:rFonts w:hint="eastAsia" w:ascii="楷体" w:hAnsi="楷体" w:eastAsia="楷体" w:cs="楷体"/>
          <w:b w:val="0"/>
          <w:sz w:val="28"/>
          <w:szCs w:val="28"/>
        </w:rPr>
        <w:t>七、附件----------------------------------------------25-36</w:t>
      </w:r>
    </w:p>
    <w:p>
      <w:pPr>
        <w:spacing w:line="360" w:lineRule="auto"/>
        <w:ind w:firstLine="560" w:firstLineChars="200"/>
        <w:rPr>
          <w:rFonts w:hint="eastAsia" w:ascii="楷体" w:hAnsi="楷体" w:eastAsia="楷体" w:cs="楷体"/>
          <w:sz w:val="28"/>
          <w:szCs w:val="28"/>
        </w:rPr>
      </w:pPr>
      <w:r>
        <w:rPr>
          <w:rFonts w:hint="eastAsia" w:ascii="楷体" w:hAnsi="楷体" w:eastAsia="楷体" w:cs="楷体"/>
          <w:sz w:val="28"/>
          <w:szCs w:val="28"/>
        </w:rPr>
        <w:t>（一）</w:t>
      </w:r>
      <w:r>
        <w:rPr>
          <w:rFonts w:hint="eastAsia" w:ascii="楷体" w:hAnsi="楷体" w:eastAsia="楷体" w:cs="楷体"/>
          <w:kern w:val="2"/>
          <w:sz w:val="28"/>
          <w:szCs w:val="28"/>
        </w:rPr>
        <w:t>项目绩效评价指标体系</w:t>
      </w:r>
      <w:r>
        <w:rPr>
          <w:rFonts w:hint="eastAsia" w:ascii="楷体" w:hAnsi="楷体" w:eastAsia="楷体" w:cs="楷体"/>
          <w:sz w:val="28"/>
          <w:szCs w:val="28"/>
        </w:rPr>
        <w:t>------------------------25-28</w:t>
      </w:r>
    </w:p>
    <w:p>
      <w:pPr>
        <w:pStyle w:val="20"/>
        <w:spacing w:before="156" w:after="156" w:line="360" w:lineRule="auto"/>
        <w:ind w:firstLine="560" w:firstLineChars="200"/>
        <w:rPr>
          <w:rFonts w:hint="eastAsia" w:eastAsia="楷体"/>
        </w:rPr>
      </w:pPr>
      <w:r>
        <w:rPr>
          <w:rFonts w:hint="eastAsia" w:ascii="楷体" w:hAnsi="楷体" w:eastAsia="楷体" w:cs="楷体"/>
          <w:b w:val="0"/>
          <w:sz w:val="28"/>
          <w:szCs w:val="28"/>
        </w:rPr>
        <w:t>（二）项目绩效评价指标评分表----------------------29-32</w:t>
      </w:r>
    </w:p>
    <w:p>
      <w:pPr>
        <w:pStyle w:val="20"/>
        <w:spacing w:before="156" w:after="156" w:line="360" w:lineRule="auto"/>
        <w:ind w:firstLine="560" w:firstLineChars="200"/>
        <w:rPr>
          <w:rFonts w:hint="eastAsia" w:eastAsia="楷体"/>
        </w:rPr>
      </w:pPr>
      <w:r>
        <w:rPr>
          <w:rFonts w:hint="eastAsia" w:ascii="楷体" w:hAnsi="楷体" w:eastAsia="楷体" w:cs="楷体"/>
          <w:b w:val="0"/>
          <w:sz w:val="28"/>
          <w:szCs w:val="28"/>
        </w:rPr>
        <w:t>（四）残疾人家庭调查问卷反馈结果------------------33-36</w:t>
      </w:r>
    </w:p>
    <w:p>
      <w:pPr>
        <w:rPr>
          <w:rFonts w:hint="eastAsia" w:ascii="楷体" w:hAnsi="楷体" w:eastAsia="楷体" w:cs="楷体"/>
          <w:sz w:val="28"/>
          <w:szCs w:val="28"/>
          <w:highlight w:val="yellow"/>
        </w:rPr>
      </w:pPr>
    </w:p>
    <w:p>
      <w:pPr>
        <w:rPr>
          <w:rFonts w:hint="eastAsia" w:ascii="楷体" w:hAnsi="楷体" w:eastAsia="楷体" w:cs="楷体"/>
          <w:sz w:val="28"/>
          <w:szCs w:val="28"/>
        </w:rPr>
      </w:pPr>
    </w:p>
    <w:p>
      <w:pPr>
        <w:rPr>
          <w:rFonts w:hint="eastAsia" w:ascii="楷体" w:hAnsi="楷体" w:eastAsia="楷体" w:cs="楷体"/>
          <w:sz w:val="28"/>
          <w:szCs w:val="28"/>
        </w:rPr>
      </w:pPr>
    </w:p>
    <w:p>
      <w:pPr>
        <w:rPr>
          <w:rFonts w:hint="eastAsia" w:ascii="楷体" w:hAnsi="楷体" w:eastAsia="楷体" w:cs="楷体"/>
          <w:sz w:val="28"/>
          <w:szCs w:val="28"/>
        </w:rPr>
        <w:sectPr>
          <w:footerReference r:id="rId3" w:type="even"/>
          <w:pgSz w:w="11906" w:h="16838"/>
          <w:pgMar w:top="1440" w:right="1309" w:bottom="1440" w:left="1797" w:header="851" w:footer="964" w:gutter="0"/>
          <w:pgNumType w:start="0"/>
          <w:cols w:space="720" w:num="1"/>
          <w:titlePg/>
          <w:docGrid w:type="lines" w:linePitch="312" w:charSpace="0"/>
        </w:sectPr>
      </w:pPr>
      <w:r>
        <w:rPr>
          <w:rFonts w:hint="eastAsia" w:ascii="楷体" w:hAnsi="楷体" w:eastAsia="楷体" w:cs="楷体"/>
          <w:sz w:val="28"/>
          <w:szCs w:val="28"/>
        </w:rPr>
        <w:t xml:space="preserve">  </w:t>
      </w:r>
    </w:p>
    <w:p>
      <w:pPr>
        <w:spacing w:before="120" w:after="120" w:line="360" w:lineRule="auto"/>
        <w:ind w:firstLine="549"/>
        <w:jc w:val="center"/>
        <w:rPr>
          <w:rFonts w:hint="eastAsia" w:ascii="楷体" w:hAnsi="楷体" w:eastAsia="楷体" w:cs="楷体"/>
          <w:b/>
          <w:sz w:val="36"/>
          <w:szCs w:val="36"/>
        </w:rPr>
      </w:pPr>
      <w:r>
        <w:rPr>
          <w:rFonts w:hint="eastAsia" w:ascii="楷体" w:hAnsi="楷体" w:eastAsia="楷体" w:cs="楷体"/>
          <w:b/>
          <w:sz w:val="36"/>
          <w:szCs w:val="36"/>
        </w:rPr>
        <w:t>摘要</w:t>
      </w:r>
    </w:p>
    <w:p>
      <w:pPr>
        <w:pStyle w:val="10"/>
        <w:spacing w:before="120"/>
        <w:ind w:firstLine="562"/>
        <w:rPr>
          <w:rFonts w:hint="eastAsia"/>
          <w:b/>
          <w:bCs/>
        </w:rPr>
      </w:pPr>
      <w:r>
        <w:rPr>
          <w:rFonts w:hint="eastAsia"/>
          <w:b/>
          <w:bCs/>
        </w:rPr>
        <w:t>一、项目概况</w:t>
      </w:r>
    </w:p>
    <w:p>
      <w:pPr>
        <w:spacing w:before="120" w:after="120" w:line="360" w:lineRule="auto"/>
        <w:ind w:firstLine="560" w:firstLineChars="200"/>
        <w:rPr>
          <w:rFonts w:hint="eastAsia" w:ascii="楷体" w:hAnsi="楷体" w:eastAsia="楷体"/>
          <w:sz w:val="28"/>
          <w:szCs w:val="28"/>
        </w:rPr>
      </w:pPr>
      <w:r>
        <w:rPr>
          <w:rFonts w:hint="eastAsia" w:ascii="楷体" w:hAnsi="楷体" w:eastAsia="楷体"/>
          <w:sz w:val="28"/>
          <w:szCs w:val="28"/>
        </w:rPr>
        <w:t>为深入贯彻落实习近平总书记关于巩固拓展脱贫攻坚成果同乡村振兴有效衔接的重要指示和考察宁夏重要讲话指示批示精神，全面落实《中国残疾人联合会、国家乡村振兴局关于做好巩固拓展残疾人脱贫攻坚成果有关工作的意见》(残联发〔2021〕14号)、《宁夏回族自治区党委、人民政府关于实现巩固拓展脱贫攻坚成果同乡村振兴有效衔接的实施意见》(宁党发〔2021〕15号)和宁夏回族自治区党委农办、自治区残联关于印发《在巩固拓展脱贫攻坚成果同乡村振兴有效衔接中开展困难残疾人家庭“一家一年一事”帮扶解困行动实施方案》的通知(宁党农办发〔2024〕5号)等文件要求，海原县县委农办、县残联结合海原县实际情况，联合印发了《海原县困难残疾人家庭“一家一年一事”帮扶解困行动项目实施方案》（海残联发〔2025</w:t>
      </w:r>
      <w:r>
        <w:rPr>
          <w:rFonts w:ascii="楷体" w:hAnsi="楷体" w:eastAsia="楷体"/>
          <w:sz w:val="28"/>
          <w:szCs w:val="28"/>
        </w:rPr>
        <w:t>〕</w:t>
      </w:r>
      <w:r>
        <w:rPr>
          <w:rFonts w:hint="eastAsia" w:ascii="楷体" w:hAnsi="楷体" w:eastAsia="楷体"/>
          <w:sz w:val="28"/>
          <w:szCs w:val="28"/>
        </w:rPr>
        <w:t>12号）的通知，开始实施本项目。</w:t>
      </w:r>
    </w:p>
    <w:p>
      <w:pPr>
        <w:pStyle w:val="10"/>
        <w:spacing w:before="120"/>
        <w:ind w:firstLine="560" w:firstLineChars="200"/>
        <w:rPr>
          <w:rFonts w:hint="eastAsia"/>
        </w:rPr>
      </w:pPr>
      <w:r>
        <w:rPr>
          <w:rFonts w:hint="eastAsia"/>
        </w:rPr>
        <w:t>根据海原县残疾人联合会提供的统计报表显示，截至评价日，海原县困难残疾人家庭“一家一年一事”帮扶解困行动项目到位资金</w:t>
      </w:r>
      <w:r>
        <w:rPr>
          <w:rFonts w:hint="eastAsia"/>
          <w:lang w:eastAsia="zh-CN"/>
        </w:rPr>
        <w:t>549,175.00</w:t>
      </w:r>
      <w:r>
        <w:rPr>
          <w:rFonts w:hint="eastAsia"/>
        </w:rPr>
        <w:t>元，实际完成帮扶家庭户数298户，累计帮扶支出549,175.00元</w:t>
      </w:r>
      <w:r>
        <w:rPr>
          <w:rFonts w:hint="eastAsia"/>
          <w:lang w:eastAsia="zh-CN"/>
        </w:rPr>
        <w:t>，</w:t>
      </w:r>
      <w:r>
        <w:rPr>
          <w:rFonts w:hint="eastAsia"/>
          <w:lang w:val="en-US" w:eastAsia="zh-CN"/>
        </w:rPr>
        <w:t>无资金欠付情况</w:t>
      </w:r>
      <w:r>
        <w:rPr>
          <w:rFonts w:hint="eastAsia"/>
        </w:rPr>
        <w:t>；截至2025年11月30日，已支付帮扶资金549,175.00元，无欠付情况。</w:t>
      </w:r>
    </w:p>
    <w:p>
      <w:pPr>
        <w:pStyle w:val="10"/>
        <w:spacing w:before="120"/>
        <w:ind w:firstLine="562"/>
        <w:rPr>
          <w:rFonts w:hint="eastAsia"/>
          <w:b/>
          <w:bCs/>
        </w:rPr>
      </w:pPr>
      <w:r>
        <w:rPr>
          <w:rFonts w:hint="eastAsia"/>
          <w:b/>
          <w:bCs/>
        </w:rPr>
        <w:t>二、综合评价情况及评价结论</w:t>
      </w:r>
    </w:p>
    <w:p>
      <w:pPr>
        <w:pStyle w:val="10"/>
        <w:spacing w:before="120"/>
        <w:ind w:left="50" w:leftChars="25" w:firstLine="560" w:firstLineChars="200"/>
        <w:rPr>
          <w:rFonts w:hint="eastAsia"/>
        </w:rPr>
      </w:pPr>
      <w:r>
        <w:rPr>
          <w:rFonts w:hint="eastAsia"/>
        </w:rPr>
        <w:t>项目立项与海原县残疾人联合会的职责范围相符，立项依据充分，项目决策和执行过程中基本遵守并执行了国家、自治区、市和县政府部门的相关规定。项目实施单位的管理制度健全；资金使用合法合规；项目单位相关制度完善且得到有效执行，但在制订项目效益的绩效目标方面仍需进一步细化和完善。评价小组向受益对象进行了问卷调查，截至评价日收到有效问卷回复50份。根据已收回调查问卷的反馈结果，受益对象的综合满意度为92.8</w:t>
      </w:r>
      <w:r>
        <w:t>%</w:t>
      </w:r>
      <w:r>
        <w:rPr>
          <w:rFonts w:hint="eastAsia"/>
        </w:rPr>
        <w:t>。通过本项目的实施，能够确保困难残疾人家庭不会因各种原因而重新陷入贫困的重要措施，有助于巩固已经取得的脱贫攻坚成果，可以促进乡村地区的经济发展和社会进步，为实现乡村振兴战略目标贡献力量。通过就业帮扶措施，旨在提高有劳动能力的残疾人的就业率，从而增加他们的收入水平，改善生活质量，针对每个困难残疾人家庭的具体情况，提供个性化的帮扶方案，确保他们能够得到最适合自己的帮助和支持，一家一年一事帮扶解困行动的实施对于保障困难残疾人家庭的基本生活、促进社会公平正义以及推动乡村全面振兴具有重要意义。</w:t>
      </w:r>
    </w:p>
    <w:p>
      <w:pPr>
        <w:pStyle w:val="10"/>
        <w:spacing w:before="120"/>
        <w:ind w:left="50" w:leftChars="25" w:firstLine="560" w:firstLineChars="200"/>
        <w:rPr>
          <w:rFonts w:hint="eastAsia"/>
        </w:rPr>
      </w:pPr>
      <w:r>
        <w:rPr>
          <w:rFonts w:hint="eastAsia"/>
        </w:rPr>
        <w:t>经评价，海原县困难残疾人家庭“一家一年一事”帮扶解困行动项目绩效评价综合得分为</w:t>
      </w:r>
      <w:r>
        <w:rPr>
          <w:rFonts w:hint="eastAsia"/>
          <w:b/>
          <w:bCs/>
        </w:rPr>
        <w:t>95.88分</w:t>
      </w:r>
      <w:r>
        <w:rPr>
          <w:rFonts w:hint="eastAsia"/>
        </w:rPr>
        <w:t>，财政支出绩效评价等级为“</w:t>
      </w:r>
      <w:r>
        <w:rPr>
          <w:rFonts w:hint="eastAsia"/>
          <w:b/>
          <w:bCs/>
        </w:rPr>
        <w:t>优</w:t>
      </w:r>
      <w:r>
        <w:rPr>
          <w:rFonts w:hint="eastAsia"/>
        </w:rPr>
        <w:t>”。具体如下表：</w:t>
      </w:r>
    </w:p>
    <w:tbl>
      <w:tblPr>
        <w:tblStyle w:val="27"/>
        <w:tblW w:w="8450"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389"/>
        <w:gridCol w:w="1369"/>
        <w:gridCol w:w="1375"/>
        <w:gridCol w:w="1513"/>
        <w:gridCol w:w="17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序号</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评价指标</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权重</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分值</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评价得分</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综合评价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决策</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15%</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15</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14</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科学合理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过程</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24%</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24</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24</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管理有效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26%</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26</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26</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保质保量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4</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效益</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35%</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35</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31.88</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效果良好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06" w:type="dxa"/>
            <w:gridSpan w:val="2"/>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综合绩效</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100%</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fldChar w:fldCharType="begin"/>
            </w:r>
            <w:r>
              <w:rPr>
                <w:rFonts w:hint="eastAsia" w:ascii="楷体" w:hAnsi="楷体" w:eastAsia="楷体" w:cs="楷体"/>
                <w:b/>
                <w:bCs/>
                <w:color w:val="000000"/>
                <w:sz w:val="28"/>
                <w:szCs w:val="28"/>
                <w:lang w:bidi="ar"/>
              </w:rPr>
              <w:instrText xml:space="preserve"> =SUM(ABOVE) \* MERGEFORMAT </w:instrText>
            </w:r>
            <w:r>
              <w:rPr>
                <w:rFonts w:hint="eastAsia" w:ascii="楷体" w:hAnsi="楷体" w:eastAsia="楷体" w:cs="楷体"/>
                <w:b/>
                <w:bCs/>
                <w:color w:val="000000"/>
                <w:sz w:val="28"/>
                <w:szCs w:val="28"/>
                <w:lang w:bidi="ar"/>
              </w:rPr>
              <w:fldChar w:fldCharType="separate"/>
            </w:r>
            <w:r>
              <w:rPr>
                <w:rFonts w:hint="eastAsia" w:ascii="楷体" w:hAnsi="楷体" w:eastAsia="楷体" w:cs="楷体"/>
                <w:b/>
                <w:bCs/>
                <w:color w:val="000000"/>
                <w:sz w:val="28"/>
                <w:szCs w:val="28"/>
                <w:lang w:bidi="ar"/>
              </w:rPr>
              <w:t>100</w:t>
            </w:r>
            <w:r>
              <w:rPr>
                <w:rFonts w:hint="eastAsia" w:ascii="楷体" w:hAnsi="楷体" w:eastAsia="楷体" w:cs="楷体"/>
                <w:b/>
                <w:bCs/>
                <w:color w:val="000000"/>
                <w:sz w:val="28"/>
                <w:szCs w:val="28"/>
                <w:lang w:bidi="ar"/>
              </w:rPr>
              <w:fldChar w:fldCharType="end"/>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highlight w:val="yellow"/>
                <w:lang w:bidi="ar"/>
              </w:rPr>
            </w:pPr>
            <w:r>
              <w:rPr>
                <w:rFonts w:hint="eastAsia" w:ascii="楷体" w:hAnsi="楷体" w:eastAsia="楷体" w:cs="楷体"/>
                <w:b/>
                <w:bCs/>
                <w:color w:val="000000"/>
                <w:sz w:val="28"/>
                <w:szCs w:val="28"/>
                <w:lang w:bidi="ar"/>
              </w:rPr>
              <w:fldChar w:fldCharType="begin"/>
            </w:r>
            <w:r>
              <w:rPr>
                <w:rFonts w:hint="eastAsia" w:ascii="楷体" w:hAnsi="楷体" w:eastAsia="楷体" w:cs="楷体"/>
                <w:b/>
                <w:bCs/>
                <w:color w:val="000000"/>
                <w:sz w:val="28"/>
                <w:szCs w:val="28"/>
                <w:lang w:bidi="ar"/>
              </w:rPr>
              <w:instrText xml:space="preserve"> =SUM(ABOVE) </w:instrText>
            </w:r>
            <w:r>
              <w:rPr>
                <w:rFonts w:hint="eastAsia" w:ascii="楷体" w:hAnsi="楷体" w:eastAsia="楷体" w:cs="楷体"/>
                <w:b/>
                <w:bCs/>
                <w:color w:val="000000"/>
                <w:sz w:val="28"/>
                <w:szCs w:val="28"/>
                <w:lang w:bidi="ar"/>
              </w:rPr>
              <w:fldChar w:fldCharType="separate"/>
            </w:r>
            <w:r>
              <w:rPr>
                <w:rFonts w:hint="eastAsia" w:ascii="楷体" w:hAnsi="楷体" w:eastAsia="楷体" w:cs="楷体"/>
                <w:b/>
                <w:bCs/>
                <w:color w:val="000000"/>
                <w:sz w:val="28"/>
                <w:szCs w:val="28"/>
                <w:lang w:bidi="ar"/>
              </w:rPr>
              <w:t>95.88</w:t>
            </w:r>
            <w:r>
              <w:rPr>
                <w:rFonts w:hint="eastAsia" w:ascii="楷体" w:hAnsi="楷体" w:eastAsia="楷体" w:cs="楷体"/>
                <w:b/>
                <w:bCs/>
                <w:color w:val="000000"/>
                <w:sz w:val="28"/>
                <w:szCs w:val="28"/>
                <w:lang w:bidi="ar"/>
              </w:rPr>
              <w:fldChar w:fldCharType="end"/>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优</w:t>
            </w:r>
          </w:p>
        </w:tc>
      </w:tr>
    </w:tbl>
    <w:p>
      <w:pPr>
        <w:pStyle w:val="10"/>
        <w:spacing w:before="120"/>
        <w:ind w:left="0" w:firstLine="424" w:firstLineChars="151"/>
        <w:rPr>
          <w:b/>
          <w:bCs/>
        </w:rPr>
      </w:pPr>
    </w:p>
    <w:p>
      <w:pPr>
        <w:pStyle w:val="10"/>
        <w:spacing w:before="120"/>
        <w:ind w:left="0" w:firstLine="424" w:firstLineChars="151"/>
        <w:rPr>
          <w:rFonts w:ascii="Courier New" w:hAnsi="Courier New" w:cs="Courier New"/>
        </w:rPr>
      </w:pPr>
      <w:r>
        <w:rPr>
          <w:rFonts w:hint="eastAsia"/>
          <w:b/>
          <w:bCs/>
        </w:rPr>
        <w:t>三、主要经验及做法及存在的问题及原因分析</w:t>
      </w:r>
      <w:r>
        <w:rPr>
          <w:rFonts w:ascii="Courier New" w:hAnsi="Courier New" w:cs="Courier New"/>
        </w:rPr>
        <w:t>‌</w:t>
      </w:r>
    </w:p>
    <w:p>
      <w:pPr>
        <w:spacing w:before="120" w:after="120" w:line="360" w:lineRule="auto"/>
        <w:ind w:firstLine="282" w:firstLineChars="101"/>
        <w:rPr>
          <w:rFonts w:hint="eastAsia" w:ascii="楷体" w:hAnsi="楷体" w:eastAsia="楷体"/>
          <w:sz w:val="28"/>
          <w:szCs w:val="28"/>
        </w:rPr>
      </w:pPr>
      <w:r>
        <w:rPr>
          <w:rFonts w:hint="eastAsia" w:ascii="楷体" w:hAnsi="楷体" w:eastAsia="楷体"/>
          <w:sz w:val="28"/>
          <w:szCs w:val="28"/>
        </w:rPr>
        <w:t>（一）主要经验及做法</w:t>
      </w:r>
    </w:p>
    <w:p>
      <w:pPr>
        <w:spacing w:before="120" w:after="120" w:line="360" w:lineRule="auto"/>
        <w:ind w:firstLine="425" w:firstLineChars="152"/>
        <w:rPr>
          <w:rFonts w:hint="eastAsia" w:ascii="楷体" w:hAnsi="楷体" w:eastAsia="楷体"/>
          <w:sz w:val="28"/>
          <w:szCs w:val="28"/>
        </w:rPr>
      </w:pPr>
      <w:r>
        <w:rPr>
          <w:rFonts w:hint="eastAsia" w:ascii="楷体" w:hAnsi="楷体" w:eastAsia="楷体"/>
          <w:sz w:val="28"/>
          <w:szCs w:val="28"/>
        </w:rPr>
        <w:t>1.精准识别与动态管理，筑牢帮扶基础</w:t>
      </w:r>
    </w:p>
    <w:p>
      <w:pPr>
        <w:spacing w:before="120" w:after="120" w:line="360" w:lineRule="auto"/>
        <w:ind w:firstLine="425" w:firstLineChars="152"/>
        <w:rPr>
          <w:rFonts w:hint="eastAsia" w:ascii="楷体" w:hAnsi="楷体" w:eastAsia="楷体"/>
          <w:sz w:val="28"/>
          <w:szCs w:val="28"/>
        </w:rPr>
      </w:pPr>
      <w:r>
        <w:rPr>
          <w:rFonts w:hint="eastAsia" w:ascii="楷体" w:hAnsi="楷体" w:eastAsia="楷体"/>
          <w:sz w:val="28"/>
          <w:szCs w:val="28"/>
        </w:rPr>
        <w:t>通过县、乡、村三级联动，依托基层组织和驻村工作队，对监测帮扶对象开展全面摸排，精准掌握残疾人家庭底数与具体需求。在摸清底数的基础上，建立动态管理机制，对家庭收入稳定、生活困境得到改善的帮扶对象，按程序实施减退式退出，确保帮扶资源持续聚焦最急需群体。</w:t>
      </w:r>
    </w:p>
    <w:p>
      <w:pPr>
        <w:spacing w:before="120" w:after="120" w:line="360" w:lineRule="auto"/>
        <w:ind w:firstLine="425" w:firstLineChars="152"/>
        <w:rPr>
          <w:rFonts w:hint="eastAsia" w:ascii="楷体" w:hAnsi="楷体" w:eastAsia="楷体"/>
          <w:sz w:val="28"/>
          <w:szCs w:val="28"/>
        </w:rPr>
      </w:pPr>
      <w:r>
        <w:rPr>
          <w:rFonts w:hint="eastAsia" w:ascii="楷体" w:hAnsi="楷体" w:eastAsia="楷体"/>
          <w:sz w:val="28"/>
          <w:szCs w:val="28"/>
        </w:rPr>
        <w:t>2.资源整合与机制协同，强化长效保障</w:t>
      </w:r>
    </w:p>
    <w:p>
      <w:pPr>
        <w:spacing w:before="120" w:after="120" w:line="360" w:lineRule="auto"/>
        <w:ind w:firstLine="425" w:firstLineChars="152"/>
        <w:rPr>
          <w:rFonts w:hint="eastAsia" w:ascii="楷体" w:hAnsi="楷体" w:eastAsia="楷体"/>
          <w:sz w:val="28"/>
          <w:szCs w:val="28"/>
        </w:rPr>
      </w:pPr>
      <w:r>
        <w:rPr>
          <w:rFonts w:hint="eastAsia" w:ascii="楷体" w:hAnsi="楷体" w:eastAsia="楷体"/>
          <w:sz w:val="28"/>
          <w:szCs w:val="28"/>
        </w:rPr>
        <w:t>整合农业农村、财政、残联等部门资源，形成联动机制，在资金保障方面，将帮扶项目优先纳入县级巩固拓展脱贫攻坚成果项目库，统筹惠残资金倾斜支持。</w:t>
      </w:r>
    </w:p>
    <w:p>
      <w:pPr>
        <w:spacing w:before="120" w:after="120" w:line="360" w:lineRule="auto"/>
        <w:ind w:firstLine="282" w:firstLineChars="101"/>
        <w:rPr>
          <w:rFonts w:hint="eastAsia" w:ascii="楷体" w:hAnsi="楷体" w:eastAsia="楷体"/>
          <w:sz w:val="28"/>
          <w:szCs w:val="28"/>
        </w:rPr>
      </w:pPr>
      <w:r>
        <w:rPr>
          <w:rFonts w:hint="eastAsia" w:ascii="楷体" w:hAnsi="楷体" w:eastAsia="楷体"/>
          <w:sz w:val="28"/>
          <w:szCs w:val="28"/>
        </w:rPr>
        <w:t>（二）存在的问题及建议</w:t>
      </w:r>
    </w:p>
    <w:p>
      <w:pPr>
        <w:spacing w:before="120" w:after="120" w:line="360" w:lineRule="auto"/>
        <w:ind w:firstLine="425" w:firstLineChars="152"/>
        <w:rPr>
          <w:rFonts w:hint="eastAsia" w:ascii="楷体" w:hAnsi="楷体" w:eastAsia="楷体"/>
          <w:sz w:val="28"/>
          <w:szCs w:val="28"/>
        </w:rPr>
      </w:pPr>
      <w:r>
        <w:rPr>
          <w:rFonts w:hint="eastAsia" w:ascii="楷体" w:hAnsi="楷体" w:eastAsia="楷体"/>
          <w:sz w:val="28"/>
          <w:szCs w:val="28"/>
        </w:rPr>
        <w:t>绩效目标量化程度不足。海原县残疾人联合会已按规定将年度绩效目标设定产出、效益和满意度三大类指标细化量化至具体数量、质量、时效、成本、经济效益、社会效益和服务对象满意度等二、三级指标，但部分设置的指标缺乏相应考核方法和标准。建议完善项目绩效指标的细化内容，为项目管理提供科学客观的考核目标，协助主管部门全过程把控项目开展情况，推进项目绩效的最终达成，从而实现预算绩效管理水平的提升。</w:t>
      </w:r>
    </w:p>
    <w:p>
      <w:pPr>
        <w:spacing w:before="120" w:after="120" w:line="360" w:lineRule="auto"/>
        <w:jc w:val="both"/>
        <w:rPr>
          <w:rFonts w:ascii="楷体" w:hAnsi="楷体" w:eastAsia="楷体" w:cs="楷体"/>
          <w:b/>
          <w:sz w:val="36"/>
          <w:szCs w:val="36"/>
        </w:rPr>
      </w:pPr>
    </w:p>
    <w:p>
      <w:pPr>
        <w:spacing w:before="120" w:after="120" w:line="360" w:lineRule="auto"/>
        <w:jc w:val="both"/>
        <w:rPr>
          <w:rFonts w:hint="eastAsia" w:ascii="楷体" w:hAnsi="楷体" w:eastAsia="楷体" w:cs="楷体"/>
          <w:b/>
          <w:sz w:val="36"/>
          <w:szCs w:val="36"/>
        </w:rPr>
      </w:pPr>
    </w:p>
    <w:p>
      <w:pPr>
        <w:spacing w:before="120" w:after="120" w:line="360" w:lineRule="auto"/>
        <w:jc w:val="both"/>
        <w:rPr>
          <w:rFonts w:hint="eastAsia" w:ascii="楷体" w:hAnsi="楷体" w:eastAsia="楷体" w:cs="楷体"/>
          <w:b/>
          <w:sz w:val="36"/>
          <w:szCs w:val="36"/>
        </w:rPr>
      </w:pPr>
    </w:p>
    <w:p>
      <w:pPr>
        <w:spacing w:before="120" w:after="120" w:line="360" w:lineRule="auto"/>
        <w:ind w:left="50" w:leftChars="25" w:firstLine="723" w:firstLineChars="200"/>
        <w:jc w:val="center"/>
        <w:rPr>
          <w:rFonts w:ascii="楷体" w:hAnsi="楷体" w:eastAsia="楷体" w:cs="楷体"/>
          <w:b/>
          <w:sz w:val="36"/>
          <w:szCs w:val="36"/>
        </w:rPr>
      </w:pPr>
      <w:r>
        <w:rPr>
          <w:rFonts w:hint="eastAsia" w:ascii="楷体" w:hAnsi="楷体" w:eastAsia="楷体" w:cs="楷体"/>
          <w:b/>
          <w:sz w:val="36"/>
          <w:szCs w:val="36"/>
        </w:rPr>
        <w:t>海原县困难残疾人家庭“一家一年一事”</w:t>
      </w:r>
    </w:p>
    <w:p>
      <w:pPr>
        <w:spacing w:before="120" w:after="120" w:line="360" w:lineRule="auto"/>
        <w:ind w:left="50" w:leftChars="25" w:firstLine="723" w:firstLineChars="200"/>
        <w:jc w:val="center"/>
        <w:rPr>
          <w:rFonts w:hint="eastAsia" w:ascii="楷体" w:hAnsi="楷体" w:eastAsia="楷体" w:cs="楷体"/>
          <w:b/>
          <w:sz w:val="28"/>
          <w:szCs w:val="28"/>
        </w:rPr>
      </w:pPr>
      <w:r>
        <w:rPr>
          <w:rFonts w:hint="eastAsia" w:ascii="楷体" w:hAnsi="楷体" w:eastAsia="楷体" w:cs="楷体"/>
          <w:b/>
          <w:sz w:val="36"/>
          <w:szCs w:val="36"/>
        </w:rPr>
        <w:t>帮扶解困行动项目绩效评价报告</w:t>
      </w:r>
    </w:p>
    <w:p>
      <w:pPr>
        <w:spacing w:before="120" w:after="120" w:line="360" w:lineRule="auto"/>
        <w:ind w:left="50" w:leftChars="25" w:firstLine="562" w:firstLineChars="200"/>
        <w:jc w:val="right"/>
        <w:rPr>
          <w:rFonts w:hint="eastAsia" w:ascii="楷体" w:hAnsi="楷体" w:eastAsia="楷体" w:cs="楷体"/>
          <w:b/>
          <w:sz w:val="28"/>
          <w:szCs w:val="28"/>
        </w:rPr>
      </w:pPr>
    </w:p>
    <w:p>
      <w:pPr>
        <w:pStyle w:val="10"/>
        <w:spacing w:before="120"/>
        <w:ind w:left="50" w:leftChars="25" w:firstLine="560" w:firstLineChars="200"/>
      </w:pPr>
      <w:r>
        <w:rPr>
          <w:rFonts w:hint="eastAsia"/>
        </w:rPr>
        <w:t>一、项目概况</w:t>
      </w:r>
    </w:p>
    <w:p>
      <w:pPr>
        <w:pStyle w:val="10"/>
        <w:spacing w:before="120"/>
        <w:ind w:left="50" w:leftChars="25" w:firstLine="560" w:firstLineChars="200"/>
        <w:rPr>
          <w:rFonts w:hint="eastAsia"/>
        </w:rPr>
      </w:pPr>
      <w:r>
        <w:rPr>
          <w:rFonts w:hint="eastAsia"/>
        </w:rPr>
        <w:t>（一）项目背景</w:t>
      </w:r>
    </w:p>
    <w:p>
      <w:pPr>
        <w:pStyle w:val="10"/>
        <w:spacing w:before="120"/>
        <w:ind w:left="50" w:leftChars="25" w:firstLine="560" w:firstLineChars="200"/>
        <w:rPr>
          <w:rFonts w:hint="eastAsia"/>
        </w:rPr>
      </w:pPr>
      <w:r>
        <w:rPr>
          <w:rFonts w:hint="eastAsia"/>
        </w:rPr>
        <w:t>为深入贯彻习近平总书记关于巩固拓展脱贫攻坚成果同乡村振兴有效衔接的重要指示和视察宁夏重要讲话指示批示精神，全面落实《中国残疾人联合会、国家乡村振兴局关于做好巩固拓展残疾人脱贫攻坚成果有关工作的意见》（残联发〔2021〕14号），宁夏回族自治区印发了《自治区党委、人民政府关于实现巩固拓展脱贫攻坚成果同乡村振兴有效衔接的实施意见》（宁党发〔2021〕15号）和《自治区党委农办、自治区残联关于在巩固拓展脱贫攻坚成果同乡村振兴有效衔接中开展困难残疾人家庭“一家一年一事’帮扶解困行动实施方案》的通知(宁党农办发〔2024〕5号)，要求全区各市县结合实际情况，开展困难残疾人家庭“一家一年一事”帮扶解困行动。各地务必认真落实自治区党委、政府部署要求，坚持将牢牢守住不发生残疾人规模性返贫底线作为重大政治任务，将持续增加残疾人家庭收入作为根本举措，聚焦监测帮扶对象残疾人家庭，在确保各项普惠性帮扶政策落实的基础上，以每年为每户家庭办一件实事的方式给予特惠性帮扶，推动解决残疾人家庭个性化的特殊困难和需求，进一步加固残疾人民生保障的底板，进一步夯实残疾人家庭稳定增收的基础，让残疾人脱贫根基更加稳固、生活更上一层楼。</w:t>
      </w:r>
    </w:p>
    <w:p>
      <w:pPr>
        <w:spacing w:before="120" w:after="120" w:line="360" w:lineRule="auto"/>
        <w:ind w:left="50" w:leftChars="25" w:firstLine="560" w:firstLineChars="200"/>
        <w:rPr>
          <w:rFonts w:hint="eastAsia" w:ascii="楷体" w:hAnsi="楷体" w:eastAsia="楷体"/>
          <w:sz w:val="28"/>
          <w:szCs w:val="28"/>
        </w:rPr>
      </w:pPr>
      <w:r>
        <w:rPr>
          <w:rFonts w:hint="eastAsia" w:ascii="楷体" w:hAnsi="楷体" w:eastAsia="楷体"/>
          <w:sz w:val="28"/>
          <w:szCs w:val="28"/>
        </w:rPr>
        <w:t>2025年5月9日，海原县残疾人联合会为落实自治区残联相关文件精神，印发了《海原县困难残疾人家庭“一家一年一事”帮扶解困行动项目实施方案》（海残联发〔2025〕12号）的通知，开始实施本项目，为帮助残疾人帮扶解困，扶持农村特殊困难残疾人发展种养殖业。</w:t>
      </w:r>
    </w:p>
    <w:p>
      <w:pPr>
        <w:spacing w:before="120" w:after="120" w:line="360" w:lineRule="auto"/>
        <w:ind w:left="50" w:leftChars="25" w:firstLine="560" w:firstLineChars="200"/>
        <w:rPr>
          <w:rFonts w:hint="eastAsia" w:ascii="楷体" w:hAnsi="楷体" w:eastAsia="楷体"/>
          <w:sz w:val="28"/>
          <w:szCs w:val="28"/>
        </w:rPr>
      </w:pPr>
      <w:r>
        <w:rPr>
          <w:rFonts w:hint="eastAsia" w:ascii="楷体" w:hAnsi="楷体" w:eastAsia="楷体"/>
          <w:sz w:val="28"/>
          <w:szCs w:val="28"/>
        </w:rPr>
        <w:t>（二）项目主要内容和实施情况</w:t>
      </w:r>
    </w:p>
    <w:p>
      <w:pPr>
        <w:spacing w:before="120" w:after="120" w:line="360" w:lineRule="auto"/>
        <w:ind w:left="50" w:leftChars="25" w:firstLine="560" w:firstLineChars="200"/>
        <w:rPr>
          <w:rFonts w:hint="eastAsia" w:ascii="楷体" w:hAnsi="楷体" w:eastAsia="楷体"/>
          <w:sz w:val="28"/>
          <w:szCs w:val="28"/>
        </w:rPr>
      </w:pPr>
      <w:r>
        <w:rPr>
          <w:rFonts w:hint="eastAsia" w:ascii="楷体" w:hAnsi="楷体" w:eastAsia="楷体"/>
          <w:sz w:val="28"/>
          <w:szCs w:val="28"/>
        </w:rPr>
        <w:t>1. 项目主要内容</w:t>
      </w:r>
    </w:p>
    <w:p>
      <w:pPr>
        <w:spacing w:before="120" w:after="120" w:line="360" w:lineRule="auto"/>
        <w:ind w:left="50" w:leftChars="25" w:firstLine="560" w:firstLineChars="200"/>
        <w:rPr>
          <w:rFonts w:hint="eastAsia" w:ascii="楷体" w:hAnsi="楷体" w:eastAsia="楷体"/>
          <w:sz w:val="28"/>
          <w:szCs w:val="28"/>
        </w:rPr>
      </w:pPr>
      <w:r>
        <w:rPr>
          <w:rFonts w:hint="eastAsia" w:ascii="楷体" w:hAnsi="楷体" w:eastAsia="楷体"/>
          <w:sz w:val="28"/>
          <w:szCs w:val="28"/>
        </w:rPr>
        <w:t>《海原县困难残疾人家庭“一家一年一事”帮扶解困行动项目实施方案》中主要实施内容如下：</w:t>
      </w:r>
    </w:p>
    <w:p>
      <w:pPr>
        <w:numPr>
          <w:ilvl w:val="0"/>
          <w:numId w:val="2"/>
        </w:numPr>
        <w:tabs>
          <w:tab w:val="left" w:pos="8600"/>
        </w:tabs>
        <w:spacing w:before="120" w:after="120" w:line="360" w:lineRule="auto"/>
        <w:ind w:left="50" w:leftChars="25" w:firstLine="560" w:firstLineChars="200"/>
        <w:jc w:val="both"/>
        <w:rPr>
          <w:rFonts w:ascii="Calibri" w:hAnsi="Calibri" w:eastAsia="楷体" w:cs="Calibri"/>
          <w:sz w:val="28"/>
          <w:szCs w:val="28"/>
        </w:rPr>
      </w:pPr>
      <w:r>
        <w:rPr>
          <w:rFonts w:hint="eastAsia" w:ascii="楷体" w:hAnsi="楷体" w:eastAsia="楷体"/>
          <w:sz w:val="28"/>
          <w:szCs w:val="28"/>
        </w:rPr>
        <w:t>工作的主要任务：</w:t>
      </w:r>
      <w:r>
        <w:rPr>
          <w:rFonts w:ascii="Calibri" w:hAnsi="Calibri" w:eastAsia="楷体" w:cs="Calibri"/>
          <w:sz w:val="28"/>
          <w:szCs w:val="28"/>
        </w:rPr>
        <w:t>①</w:t>
      </w:r>
      <w:r>
        <w:rPr>
          <w:rFonts w:hint="eastAsia" w:ascii="楷体" w:hAnsi="楷体" w:eastAsia="楷体"/>
          <w:sz w:val="28"/>
          <w:szCs w:val="28"/>
        </w:rPr>
        <w:t>实施兜底帮扶解困。 针对困难残疾人家庭 (监测对象残疾人家庭) 开展精准“兜底帮扶”，组织人员对纳入监测帮扶计划的残疾人家庭根据因病 、因学、因遭 遇突发困难等不同原因存在返贫致贫风险情况进行摸排汇总，坚决防止漏统、 漏项、 漏扶、 漏管“四漏” 问题发生；持续推进低保纳入政策， 健全残疾人家庭动态监测和救助帮扶机制。将纳入监测帮扶对象残疾人家庭纳入动态监测范围，快速预警、 精准救助， 符合条件的重残人员按“单人户” 纳入低保范围；现有帮扶政策落实后风险仍未消除的，按照“衔接资金”使用方向和每年集中解决 1件事的要求，“一事一议” “一户一策”给予特惠帮扶，确保每户残疾人家庭返贫致贫风险基本消除。</w:t>
      </w:r>
      <w:r>
        <w:rPr>
          <w:rFonts w:ascii="Calibri" w:hAnsi="Calibri" w:eastAsia="楷体" w:cs="Calibri"/>
          <w:sz w:val="28"/>
          <w:szCs w:val="28"/>
        </w:rPr>
        <w:t>②实施产业帮扶解困。 对有发展产业意愿的残疾人家庭进行“分类帮扶”</w:t>
      </w:r>
      <w:r>
        <w:rPr>
          <w:rFonts w:hint="eastAsia" w:ascii="Calibri" w:hAnsi="Calibri" w:eastAsia="楷体" w:cs="Calibri"/>
          <w:sz w:val="28"/>
          <w:szCs w:val="28"/>
        </w:rPr>
        <w:t>。对未消除风险的监测对象、 已消除风险的监测户中脱贫户残疾人家庭在原有政策的基础上叠加帮扶。在享受脱贫户补贴政策基础上， 按照农业农村局印发的《海原县2025年农业产业高质量发展政策支撑方案的通知》(海党办发〔2025〕4号)补贴类目和资金，户均增加2000元种养殖及劳务补贴，强化对残疾人和家庭成员产业带动，加大对整户无劳动能力的残疾人家庭的收益分红，确保残疾人家庭都有产业增收项目或能依托产业发展增收。</w:t>
      </w:r>
      <w:r>
        <w:rPr>
          <w:rFonts w:ascii="Calibri" w:hAnsi="Calibri" w:eastAsia="楷体" w:cs="Calibri"/>
          <w:sz w:val="28"/>
          <w:szCs w:val="28"/>
        </w:rPr>
        <w:t>③实施就业帮扶解困。将帮扶解困行动专项资金与现有就业扶持资金“捆绑”,持续加大对残疾人就业帮扶。创新“托养+辅助性就业”模式，助力残疾人就地就近稳定就业。对没有就业能力和就业愿望的残疾人，加大对其家庭成员技能培训、就业帮扶和信贷支持、务工补贴等，帮助其就业或发展产业增收</w:t>
      </w:r>
      <w:r>
        <w:rPr>
          <w:rFonts w:hint="eastAsia" w:ascii="Calibri" w:hAnsi="Calibri" w:eastAsia="楷体" w:cs="Calibri"/>
          <w:sz w:val="28"/>
          <w:szCs w:val="28"/>
        </w:rPr>
        <w:t>；</w:t>
      </w:r>
      <w:r>
        <w:rPr>
          <w:rFonts w:ascii="Calibri" w:hAnsi="Calibri" w:eastAsia="楷体" w:cs="Calibri"/>
          <w:sz w:val="28"/>
          <w:szCs w:val="28"/>
        </w:rPr>
        <w:t>积极开发公益性岗位，托底安置符合条件的残疾人及其家庭成员就业，确保每个残疾人家庭至少有1人就业。</w:t>
      </w:r>
      <w:r>
        <w:rPr>
          <w:rFonts w:hint="eastAsia" w:ascii="楷体" w:hAnsi="楷体" w:eastAsia="楷体" w:cs="楷体"/>
          <w:sz w:val="28"/>
          <w:szCs w:val="28"/>
        </w:rPr>
        <w:t>④实施服务帮扶解困。了解掌握残疾人群体面临的困难和正常诉求，将帮扶解困行动专项资金与残疾人事业发展资金“捆绑”,做好关爱服务。将帮扶解困行动专项资金与残疾人事业发展资金“捆绑”,加强和改善对农村残疾人的服务。拓展“康复服务进家庭”服务覆盖面，为残疾人提供更有质量的基本康复服务、加大困难重度残疾人家庭无障碍改造力度，提升改造标准和质量。帮扶解困行动经费支持用于因户制宜落实残疾儿童康，复救助制度，基本康复训练陪护经费补助，为残疾人提供有质量、可持续的帮扶服务。</w:t>
      </w:r>
    </w:p>
    <w:p>
      <w:pPr>
        <w:spacing w:before="120" w:after="120" w:line="360" w:lineRule="auto"/>
        <w:ind w:firstLine="565" w:firstLineChars="202"/>
        <w:jc w:val="both"/>
        <w:rPr>
          <w:rFonts w:hint="eastAsia" w:ascii="楷体" w:hAnsi="楷体" w:eastAsia="楷体"/>
          <w:sz w:val="28"/>
          <w:szCs w:val="28"/>
        </w:rPr>
      </w:pPr>
      <w:r>
        <w:rPr>
          <w:rFonts w:hint="eastAsia" w:ascii="楷体" w:hAnsi="楷体" w:eastAsia="楷体"/>
          <w:sz w:val="28"/>
          <w:szCs w:val="28"/>
        </w:rPr>
        <w:t>（2）补助对象及原则：以监测帮扶对象残疾人家庭为目标群体，在坚持现有帮扶政策力度不减、资金投入渠道不变的基础上给予“叠加”帮扶，由各地根据实际统筹安排相应资金保障。到 2025年底，监测帮扶对象残疾人家庭每户至少有 1-2件突出困难问题得到有效解决，残疾人参与或依托产业增收成效明显增强，残疾人内生动力进一步激发，自我发展能力不断提升，残疾人家庭脱贫基础更加稳固，生活品质持续提升。</w:t>
      </w:r>
    </w:p>
    <w:p>
      <w:pPr>
        <w:spacing w:before="120" w:after="120" w:line="360" w:lineRule="auto"/>
        <w:ind w:firstLine="565" w:firstLineChars="202"/>
        <w:rPr>
          <w:rFonts w:eastAsia="楷体"/>
        </w:rPr>
      </w:pPr>
      <w:r>
        <w:rPr>
          <w:rFonts w:hint="eastAsia" w:ascii="楷体" w:hAnsi="楷体" w:eastAsia="楷体"/>
          <w:sz w:val="28"/>
          <w:szCs w:val="28"/>
        </w:rPr>
        <w:t>（3）补助预算资金54.</w:t>
      </w:r>
      <w:r>
        <w:rPr>
          <w:rFonts w:hint="eastAsia" w:ascii="楷体" w:hAnsi="楷体" w:eastAsia="楷体"/>
          <w:sz w:val="28"/>
          <w:szCs w:val="28"/>
          <w:lang w:val="en-US" w:eastAsia="zh-CN"/>
        </w:rPr>
        <w:t>9175</w:t>
      </w:r>
      <w:r>
        <w:rPr>
          <w:rFonts w:hint="eastAsia" w:ascii="楷体" w:hAnsi="楷体" w:eastAsia="楷体"/>
          <w:sz w:val="28"/>
          <w:szCs w:val="28"/>
        </w:rPr>
        <w:t>万元，其中：海原县财政局分别于2025年5月15日下达海财[农]指标(2025)53号文件资金为20万元，于2025年9月15日下达海财[农]指标(2025)82号文件资金为34.</w:t>
      </w:r>
      <w:r>
        <w:rPr>
          <w:rFonts w:hint="eastAsia" w:ascii="楷体" w:hAnsi="楷体" w:eastAsia="楷体"/>
          <w:sz w:val="28"/>
          <w:szCs w:val="28"/>
          <w:lang w:val="en-US" w:eastAsia="zh-CN"/>
        </w:rPr>
        <w:t>9175</w:t>
      </w:r>
      <w:r>
        <w:rPr>
          <w:rFonts w:hint="eastAsia" w:ascii="楷体" w:hAnsi="楷体" w:eastAsia="楷体"/>
          <w:sz w:val="28"/>
          <w:szCs w:val="28"/>
        </w:rPr>
        <w:t>万元。</w:t>
      </w:r>
    </w:p>
    <w:p>
      <w:pPr>
        <w:pStyle w:val="10"/>
        <w:spacing w:before="120"/>
        <w:ind w:left="50" w:leftChars="25" w:firstLine="560" w:firstLineChars="200"/>
        <w:rPr>
          <w:rFonts w:hint="eastAsia"/>
        </w:rPr>
      </w:pPr>
      <w:r>
        <w:rPr>
          <w:rFonts w:hint="eastAsia"/>
        </w:rPr>
        <w:t>2.项目实施过程</w:t>
      </w:r>
    </w:p>
    <w:p>
      <w:pPr>
        <w:pStyle w:val="10"/>
        <w:spacing w:before="120"/>
        <w:ind w:left="50" w:leftChars="25" w:firstLine="560" w:firstLineChars="200"/>
        <w:rPr>
          <w:rFonts w:hint="eastAsia"/>
        </w:rPr>
      </w:pPr>
      <w:r>
        <w:rPr>
          <w:rFonts w:hint="eastAsia"/>
        </w:rPr>
        <w:t>（1）摸底准备阶段(3月初至4月底)。由海原县县委农办牵头，农业农村、残联配合，各乡镇党委、政府负责，组织乡村干部、驻村干部、网格员、残联专职委员落实“四查四补”“八必访”等工作要求，集中排查“一家一户”返贫致贫因素，突出“一年一事”“一户一策”“一户一案”制定帮扶措施，经自主申报、协商论证、民主评议、公开公示无异议后，分别报县农业农村局、残联审核汇总，按衔接资金管理有关规定程序报批。</w:t>
      </w:r>
    </w:p>
    <w:p>
      <w:pPr>
        <w:pStyle w:val="10"/>
        <w:spacing w:before="120"/>
        <w:ind w:left="50" w:leftChars="25" w:firstLine="560" w:firstLineChars="200"/>
        <w:rPr>
          <w:rFonts w:hint="eastAsia"/>
        </w:rPr>
      </w:pPr>
      <w:r>
        <w:rPr>
          <w:rFonts w:hint="eastAsia"/>
        </w:rPr>
        <w:t>（2）组织实施阶段(5月初至6月底)。乡村两级按照已确定的帮扶方案，安排“精兵强将”,健全工作台账，统筹推进实施，6月底前全面完成帮扶解困任务并取得明显成效。农办、各乡镇党委和人民政府，农业农村局、残联等相关部门加强走访指导，及时协调解决项目实施遇到的困难问题。</w:t>
      </w:r>
    </w:p>
    <w:p>
      <w:pPr>
        <w:pStyle w:val="10"/>
        <w:spacing w:before="120"/>
        <w:ind w:left="50" w:leftChars="25" w:firstLine="560" w:firstLineChars="200"/>
        <w:rPr>
          <w:rFonts w:hint="eastAsia"/>
        </w:rPr>
      </w:pPr>
      <w:r>
        <w:rPr>
          <w:rFonts w:hint="eastAsia"/>
        </w:rPr>
        <w:t>（3）总结验收阶段(7月初至12月底)。海原县农业农村局会同海原县财政局、海原县残疾人联合会和各负责乡（镇、街道）人民政府组成验收组，于2025年7月至8月初在各负责乡（镇、街道）人民政府自查验收的基础上，按照不低于各乡镇报送花名册总户数的10%比例进行了抽样验收。经验收各抽样户符合补贴标准，验收合格。海原县残疾人联合会于2025年9月23日完成最后一笔帮扶资金代付处理。</w:t>
      </w:r>
    </w:p>
    <w:p>
      <w:pPr>
        <w:pStyle w:val="10"/>
        <w:spacing w:before="120"/>
        <w:ind w:left="50" w:leftChars="25" w:firstLine="560" w:firstLineChars="200"/>
        <w:rPr>
          <w:rFonts w:hint="eastAsia"/>
        </w:rPr>
      </w:pPr>
      <w:r>
        <w:rPr>
          <w:rFonts w:hint="eastAsia"/>
        </w:rPr>
        <w:t>（三）项目投入资金和使用情况</w:t>
      </w:r>
    </w:p>
    <w:p>
      <w:pPr>
        <w:pStyle w:val="10"/>
        <w:spacing w:before="120"/>
        <w:ind w:left="50" w:leftChars="25" w:firstLine="560" w:firstLineChars="200"/>
      </w:pPr>
      <w:r>
        <w:rPr>
          <w:rFonts w:hint="eastAsia"/>
        </w:rPr>
        <w:t>根据海原县残疾人联合会提供的统计报表显示，截至评价日，海原县困难残疾人家庭“一家一年一事”帮扶解困行动项目到位资金</w:t>
      </w:r>
      <w:r>
        <w:rPr>
          <w:rFonts w:hint="eastAsia"/>
          <w:lang w:eastAsia="zh-CN"/>
        </w:rPr>
        <w:t>549,175.00</w:t>
      </w:r>
      <w:r>
        <w:rPr>
          <w:rFonts w:hint="eastAsia"/>
        </w:rPr>
        <w:t>元，实际完成帮扶支出549,175.00元，</w:t>
      </w:r>
      <w:r>
        <w:rPr>
          <w:rFonts w:hint="eastAsia"/>
          <w:lang w:val="en-US" w:eastAsia="zh-CN"/>
        </w:rPr>
        <w:t>无资金欠付情况</w:t>
      </w:r>
      <w:r>
        <w:rPr>
          <w:rFonts w:hint="eastAsia"/>
        </w:rPr>
        <w:t>；截至2025年11月30日，已支付帮扶资金549,175.00元，无欠付情况。</w:t>
      </w:r>
    </w:p>
    <w:p>
      <w:pPr>
        <w:pStyle w:val="10"/>
        <w:spacing w:before="120"/>
        <w:ind w:left="50" w:leftChars="25" w:firstLine="560" w:firstLineChars="200"/>
      </w:pPr>
      <w:r>
        <w:rPr>
          <w:rFonts w:hint="eastAsia"/>
        </w:rPr>
        <w:t>本项目以帮扶残疾人家庭为目标群体，针对每户家庭进行补贴，全县共计帮扶户数为298户，累计已支付各乡（镇、街道）资金明细如下：</w:t>
      </w:r>
    </w:p>
    <w:tbl>
      <w:tblPr>
        <w:tblStyle w:val="27"/>
        <w:tblW w:w="8435"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07"/>
        <w:gridCol w:w="2835"/>
        <w:gridCol w:w="269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b/>
                <w:sz w:val="28"/>
                <w:szCs w:val="28"/>
              </w:rPr>
              <w:t>乡镇</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b/>
                <w:sz w:val="28"/>
                <w:szCs w:val="28"/>
              </w:rPr>
              <w:t>户数</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b/>
                <w:sz w:val="28"/>
                <w:szCs w:val="28"/>
              </w:rPr>
              <w:t>金额</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曹洼乡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8</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olor w:val="000000"/>
                <w:sz w:val="28"/>
                <w:szCs w:val="28"/>
              </w:rPr>
              <w:t xml:space="preserve">    15,050.00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高崖乡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12</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olor w:val="000000"/>
                <w:sz w:val="28"/>
                <w:szCs w:val="28"/>
              </w:rPr>
              <w:t xml:space="preserve">    20,270.00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关桥乡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16</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olor w:val="000000"/>
                <w:sz w:val="28"/>
                <w:szCs w:val="28"/>
              </w:rPr>
              <w:t xml:space="preserve">    26,563.00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关庄乡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sz w:val="28"/>
                <w:szCs w:val="28"/>
              </w:rPr>
              <w:t>10</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olor w:val="000000"/>
                <w:sz w:val="28"/>
                <w:szCs w:val="28"/>
              </w:rPr>
              <w:t xml:space="preserve">    20,000.00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海城镇</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15</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26,503.50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红羊乡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20</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39,900.00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李俊乡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5</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8,962.00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李旺镇</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15</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21,177.50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史店乡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9</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18,050.00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树台乡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21</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40,500.00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西安镇</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68</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130,300.00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郑旗乡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17</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34,150.00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甘城乡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8</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15,650.00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贾塘乡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20</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36,560.00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街道办</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1</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2,000.00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九彩乡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6</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12,162.50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七营镇</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29</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45,976.50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三河镇</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sz w:val="28"/>
                <w:szCs w:val="28"/>
              </w:rPr>
              <w:t>18</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olor w:val="000000"/>
                <w:sz w:val="28"/>
                <w:szCs w:val="28"/>
              </w:rPr>
              <w:t xml:space="preserve">    35,400.00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90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b/>
                <w:sz w:val="28"/>
                <w:szCs w:val="28"/>
              </w:rPr>
              <w:t>合计</w:t>
            </w:r>
          </w:p>
        </w:tc>
        <w:tc>
          <w:tcPr>
            <w:tcW w:w="283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b/>
                <w:sz w:val="28"/>
                <w:szCs w:val="28"/>
              </w:rPr>
              <w:t>298</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b/>
                <w:bCs/>
                <w:color w:val="000000"/>
                <w:sz w:val="28"/>
                <w:szCs w:val="28"/>
              </w:rPr>
              <w:t xml:space="preserve">  549,175.00 </w:t>
            </w:r>
          </w:p>
        </w:tc>
      </w:tr>
    </w:tbl>
    <w:p>
      <w:pPr>
        <w:pStyle w:val="10"/>
        <w:spacing w:before="120"/>
        <w:ind w:left="50" w:leftChars="25" w:firstLine="560" w:firstLineChars="200"/>
        <w:rPr>
          <w:rFonts w:hint="eastAsia"/>
        </w:rPr>
      </w:pPr>
    </w:p>
    <w:p>
      <w:pPr>
        <w:pStyle w:val="10"/>
        <w:spacing w:before="120"/>
        <w:ind w:left="50" w:leftChars="25" w:firstLine="560" w:firstLineChars="200"/>
        <w:rPr>
          <w:rFonts w:hint="eastAsia"/>
        </w:rPr>
      </w:pPr>
      <w:r>
        <w:rPr>
          <w:rFonts w:hint="eastAsia"/>
        </w:rPr>
        <w:t>（四）项目绩效目标</w:t>
      </w:r>
    </w:p>
    <w:p>
      <w:pPr>
        <w:spacing w:before="120" w:after="120" w:line="360" w:lineRule="auto"/>
        <w:ind w:left="50" w:leftChars="25" w:firstLine="560" w:firstLineChars="200"/>
        <w:jc w:val="both"/>
        <w:rPr>
          <w:rFonts w:ascii="楷体" w:hAnsi="楷体" w:eastAsia="楷体"/>
          <w:sz w:val="28"/>
          <w:szCs w:val="28"/>
        </w:rPr>
      </w:pPr>
      <w:r>
        <w:rPr>
          <w:rFonts w:hint="eastAsia" w:ascii="楷体" w:hAnsi="楷体" w:eastAsia="楷体"/>
          <w:sz w:val="28"/>
          <w:szCs w:val="28"/>
        </w:rPr>
        <w:t>1.总体目标：</w:t>
      </w:r>
      <w:r>
        <w:rPr>
          <w:rFonts w:ascii="楷体" w:hAnsi="楷体" w:eastAsia="楷体"/>
          <w:sz w:val="28"/>
          <w:szCs w:val="28"/>
        </w:rPr>
        <w:t xml:space="preserve"> </w:t>
      </w:r>
      <w:r>
        <w:rPr>
          <w:rFonts w:hint="eastAsia" w:ascii="楷体" w:hAnsi="楷体" w:eastAsia="楷体"/>
          <w:sz w:val="28"/>
          <w:szCs w:val="28"/>
        </w:rPr>
        <w:t>通过本项目的实施，针对每个困难残疾人家庭的具体情况，提供个性化的帮扶方案，是确保他们能够得到最适合自己的帮助和支持，一家一年一事帮扶解困行动的实施对于保障困难残疾人家庭的基本生活。也是确保困难残疾人家庭不会因各种原因而重新陷入贫困的重要措施，有助于巩固已经取得的脱贫攻坚成果，可以促进乡村地区的经济发展和社会进步，为实现乡村振兴战略目标贡献力量，同时对促进社会公平正义以及推动乡村全面振兴具有重要意义。</w:t>
      </w:r>
    </w:p>
    <w:p>
      <w:pPr>
        <w:spacing w:before="120" w:after="120" w:line="360" w:lineRule="auto"/>
        <w:ind w:left="50" w:leftChars="25" w:firstLine="560" w:firstLineChars="200"/>
        <w:jc w:val="both"/>
        <w:rPr>
          <w:rFonts w:hint="eastAsia" w:ascii="楷体" w:hAnsi="楷体" w:eastAsia="楷体"/>
          <w:sz w:val="28"/>
          <w:szCs w:val="28"/>
        </w:rPr>
      </w:pPr>
      <w:r>
        <w:rPr>
          <w:rFonts w:hint="eastAsia" w:ascii="楷体" w:hAnsi="楷体" w:eastAsia="楷体"/>
          <w:sz w:val="28"/>
          <w:szCs w:val="28"/>
        </w:rPr>
        <w:t>2.阶段性目标：以监测帮扶对象残疾人家庭为目标群体，要在坚持现有帮扶政策力度不减金投入渠道不变的基础上给予“叠加”帮扶，根据实际统筹安排相应的资金保障。到2025年底，监测帮扶对象残疾人家庭每户至少有1-2件突出困难问题得到有效解决，残疾人参与或依托产业增收成效明显增强，残疾人内生动力进一步激发自我发展能力不断提升，残疾人家庭脱贫基础更加稳固，生活质量得到有效提升。</w:t>
      </w:r>
    </w:p>
    <w:p>
      <w:pPr>
        <w:pStyle w:val="10"/>
        <w:spacing w:before="120"/>
        <w:ind w:left="50" w:leftChars="25" w:firstLine="560" w:firstLineChars="200"/>
        <w:rPr>
          <w:rFonts w:hint="eastAsia"/>
        </w:rPr>
      </w:pPr>
      <w:r>
        <w:rPr>
          <w:rFonts w:hint="eastAsia"/>
        </w:rPr>
        <w:t>二、绩效评价工作开展情况</w:t>
      </w:r>
    </w:p>
    <w:p>
      <w:pPr>
        <w:pStyle w:val="10"/>
        <w:spacing w:before="120"/>
        <w:ind w:left="50" w:leftChars="25" w:firstLine="560" w:firstLineChars="200"/>
        <w:rPr>
          <w:rFonts w:hint="eastAsia"/>
        </w:rPr>
      </w:pPr>
      <w:r>
        <w:rPr>
          <w:rFonts w:hint="eastAsia"/>
        </w:rPr>
        <w:t>（一）评价目的</w:t>
      </w:r>
    </w:p>
    <w:p>
      <w:pPr>
        <w:pStyle w:val="10"/>
        <w:spacing w:before="120"/>
        <w:ind w:left="50" w:leftChars="25" w:firstLine="560" w:firstLineChars="200"/>
        <w:rPr>
          <w:rFonts w:hint="eastAsia"/>
        </w:rPr>
      </w:pPr>
      <w:r>
        <w:rPr>
          <w:rFonts w:hint="eastAsia"/>
        </w:rPr>
        <w:t>本次评价旨在通过检查本项目的实施情况，考核资金支出效率和综合绩效，总结项目管理与执行经验，为相关部门决策、管理提供参考依据，进一步促进后续同类项目的顺利实施。通过开展项目财政支出绩效评价，推动建立以绩效评价结果为导向的财政资金分配与管理制度，提升财政资金科学化、精细化管理水平，为今后实施此类项目的预算安排提供重要依据。</w:t>
      </w:r>
    </w:p>
    <w:p>
      <w:pPr>
        <w:pStyle w:val="10"/>
        <w:spacing w:before="120"/>
        <w:ind w:left="50" w:leftChars="25" w:firstLine="560" w:firstLineChars="200"/>
        <w:rPr>
          <w:rFonts w:hint="eastAsia"/>
        </w:rPr>
      </w:pPr>
      <w:r>
        <w:rPr>
          <w:rFonts w:hint="eastAsia"/>
        </w:rPr>
        <w:t>（二）评价依据</w:t>
      </w:r>
    </w:p>
    <w:p>
      <w:pPr>
        <w:pStyle w:val="10"/>
        <w:spacing w:before="120"/>
        <w:ind w:left="50" w:leftChars="25" w:firstLine="560" w:firstLineChars="200"/>
        <w:rPr>
          <w:rFonts w:hint="eastAsia"/>
        </w:rPr>
      </w:pPr>
      <w:r>
        <w:rPr>
          <w:rFonts w:hint="eastAsia"/>
        </w:rPr>
        <w:t>1.《中华人民共和国预算法》（2014年修正）；</w:t>
      </w:r>
    </w:p>
    <w:p>
      <w:pPr>
        <w:pStyle w:val="10"/>
        <w:spacing w:before="120"/>
        <w:ind w:left="50" w:leftChars="25" w:firstLine="560" w:firstLineChars="200"/>
        <w:rPr>
          <w:rFonts w:hint="eastAsia"/>
        </w:rPr>
      </w:pPr>
      <w:r>
        <w:rPr>
          <w:rFonts w:hint="eastAsia"/>
        </w:rPr>
        <w:t>2.财政部《关于印发&lt;项目支出绩效评价管理办法&gt;的通知》（财预〔2020〕10号）；</w:t>
      </w:r>
    </w:p>
    <w:p>
      <w:pPr>
        <w:pStyle w:val="10"/>
        <w:spacing w:before="120"/>
        <w:ind w:left="50" w:leftChars="25" w:firstLine="560" w:firstLineChars="200"/>
        <w:rPr>
          <w:rFonts w:hint="eastAsia"/>
        </w:rPr>
      </w:pPr>
      <w:r>
        <w:rPr>
          <w:rFonts w:hint="eastAsia"/>
        </w:rPr>
        <w:t>3.财政部《关于贯彻落实&lt;中共中央国务院关于全面实施预算绩效管理的意见&gt;的通知》（财预〔2018〕167号）；</w:t>
      </w:r>
    </w:p>
    <w:p>
      <w:pPr>
        <w:pStyle w:val="10"/>
        <w:spacing w:before="120"/>
        <w:ind w:left="50" w:leftChars="25" w:firstLine="560" w:firstLineChars="200"/>
        <w:rPr>
          <w:rFonts w:hint="eastAsia"/>
        </w:rPr>
      </w:pPr>
      <w:r>
        <w:rPr>
          <w:rFonts w:hint="eastAsia"/>
        </w:rPr>
        <w:t>4.自治区党委</w:t>
      </w:r>
      <w:r>
        <w:rPr>
          <w:rFonts w:hint="eastAsia"/>
          <w:lang w:val="en-US" w:eastAsia="zh-CN"/>
        </w:rPr>
        <w:t>/自治区</w:t>
      </w:r>
      <w:r>
        <w:rPr>
          <w:rFonts w:hint="eastAsia"/>
        </w:rPr>
        <w:t>人民政府《关于全面实施预算绩效管理的实施意见》（宁党发〔2019〕9号）；</w:t>
      </w:r>
      <w:bookmarkStart w:id="2" w:name="_GoBack"/>
      <w:bookmarkEnd w:id="2"/>
    </w:p>
    <w:p>
      <w:pPr>
        <w:pStyle w:val="10"/>
        <w:spacing w:before="120"/>
        <w:ind w:left="50" w:leftChars="25" w:firstLine="560" w:firstLineChars="200"/>
        <w:rPr>
          <w:rFonts w:hint="eastAsia"/>
        </w:rPr>
      </w:pPr>
      <w:r>
        <w:rPr>
          <w:rFonts w:hint="eastAsia"/>
        </w:rPr>
        <w:t>5.项目实施单位提供的其他作为评价依据的材料。</w:t>
      </w:r>
    </w:p>
    <w:p>
      <w:pPr>
        <w:pStyle w:val="10"/>
        <w:spacing w:before="120"/>
        <w:ind w:left="50" w:leftChars="25" w:firstLine="560" w:firstLineChars="200"/>
        <w:rPr>
          <w:rFonts w:hint="eastAsia"/>
        </w:rPr>
      </w:pPr>
      <w:r>
        <w:rPr>
          <w:rFonts w:hint="eastAsia"/>
        </w:rPr>
        <w:t>（三）评价的对象和范围</w:t>
      </w:r>
    </w:p>
    <w:p>
      <w:pPr>
        <w:pStyle w:val="10"/>
        <w:spacing w:before="120"/>
        <w:ind w:left="50" w:leftChars="25" w:firstLine="560" w:firstLineChars="200"/>
        <w:rPr>
          <w:rFonts w:hint="eastAsia"/>
        </w:rPr>
      </w:pPr>
      <w:r>
        <w:rPr>
          <w:rFonts w:hint="eastAsia"/>
        </w:rPr>
        <w:t>本次绩效评价的对象为：海原县困难残疾人家庭“一家一年一事”帮扶解困行动项目。</w:t>
      </w:r>
    </w:p>
    <w:p>
      <w:pPr>
        <w:pStyle w:val="10"/>
        <w:spacing w:before="120"/>
        <w:ind w:left="50" w:leftChars="25" w:firstLine="560" w:firstLineChars="200"/>
        <w:rPr>
          <w:rFonts w:hint="eastAsia"/>
        </w:rPr>
      </w:pPr>
      <w:r>
        <w:rPr>
          <w:rFonts w:hint="eastAsia"/>
        </w:rPr>
        <w:t>绩效评价基准日为：2025年11月30日。</w:t>
      </w:r>
    </w:p>
    <w:p>
      <w:pPr>
        <w:pStyle w:val="10"/>
        <w:spacing w:before="120"/>
        <w:ind w:left="50" w:leftChars="25" w:firstLine="560" w:firstLineChars="200"/>
        <w:rPr>
          <w:rFonts w:hint="eastAsia"/>
        </w:rPr>
      </w:pPr>
      <w:r>
        <w:rPr>
          <w:rFonts w:hint="eastAsia"/>
        </w:rPr>
        <w:t>（四）评价方案制定</w:t>
      </w:r>
    </w:p>
    <w:p>
      <w:pPr>
        <w:pStyle w:val="10"/>
        <w:spacing w:before="120"/>
        <w:ind w:left="50" w:leftChars="25" w:firstLine="560" w:firstLineChars="200"/>
        <w:rPr>
          <w:rFonts w:hint="eastAsia"/>
        </w:rPr>
      </w:pPr>
      <w:r>
        <w:rPr>
          <w:rFonts w:hint="eastAsia"/>
        </w:rPr>
        <w:t>我们依据绩效评价的基本原理，秉承科学规范、公开公正和绩效相关的原则，不断完善、细化绩效目标设计工作，并根据项目设定的绩效目标，运用案卷研究法、比较法、因素分析法及公众评判法等相应的评价方法，建立指标体系和评价标准，对项目资金支出的产出和效果进行客观、公正的评价，从而为加强项目资金支出管理、强化支付责任、建立科学、合理的项目资金支出评价体系和提高资金使用效益提供依据。</w:t>
      </w:r>
    </w:p>
    <w:p>
      <w:pPr>
        <w:pStyle w:val="10"/>
        <w:spacing w:before="120"/>
        <w:ind w:left="50" w:leftChars="25" w:firstLine="560" w:firstLineChars="200"/>
        <w:rPr>
          <w:rFonts w:hint="eastAsia"/>
        </w:rPr>
      </w:pPr>
      <w:r>
        <w:rPr>
          <w:rFonts w:hint="eastAsia"/>
        </w:rPr>
        <w:t>本项目绩效评价指标体系以财政部《关于印发&lt;项目支出绩效评价管理办法&gt;的通知》（财预〔2020〕10号）确定的指标体系框架为基础，针对项目的特点，按照逻辑分析法和层次分析法开发设计，覆盖决策、过程、产出和效益四个方面，重点关注项目决策的战略性与可操作性、财政资金使用情况、财务管理状况、组织实施情况，核实项目完成情况、完成质量、项目效益，调研项目利益相关者满意度等，反映项目实施的效果和状况，对项目的监管提出建设性意见。</w:t>
      </w:r>
    </w:p>
    <w:p>
      <w:pPr>
        <w:pStyle w:val="10"/>
        <w:spacing w:before="120"/>
        <w:ind w:left="50" w:leftChars="25" w:firstLine="560" w:firstLineChars="200"/>
        <w:rPr>
          <w:rFonts w:hint="eastAsia"/>
        </w:rPr>
      </w:pPr>
      <w:r>
        <w:rPr>
          <w:rFonts w:hint="eastAsia"/>
        </w:rPr>
        <w:t>（五）绩效评价体系</w:t>
      </w:r>
    </w:p>
    <w:p>
      <w:pPr>
        <w:pStyle w:val="10"/>
        <w:spacing w:before="120"/>
        <w:ind w:left="50" w:leftChars="25" w:firstLine="560" w:firstLineChars="200"/>
        <w:rPr>
          <w:rFonts w:hint="eastAsia"/>
        </w:rPr>
      </w:pPr>
      <w:r>
        <w:rPr>
          <w:rFonts w:hint="eastAsia"/>
        </w:rPr>
        <w:t>1.绩效评价原则</w:t>
      </w:r>
    </w:p>
    <w:p>
      <w:pPr>
        <w:pStyle w:val="10"/>
        <w:spacing w:before="120"/>
        <w:ind w:left="50" w:leftChars="25" w:firstLine="560" w:firstLineChars="200"/>
        <w:rPr>
          <w:rFonts w:hint="eastAsia"/>
        </w:rPr>
      </w:pPr>
      <w:r>
        <w:rPr>
          <w:rFonts w:hint="eastAsia"/>
        </w:rPr>
        <w:t>（1）相关性原则。选定的绩效评价指标与所做的工作和完成的任务有直接联系。</w:t>
      </w:r>
    </w:p>
    <w:p>
      <w:pPr>
        <w:pStyle w:val="10"/>
        <w:spacing w:before="120"/>
        <w:ind w:left="50" w:leftChars="25" w:firstLine="560" w:firstLineChars="200"/>
        <w:rPr>
          <w:rFonts w:hint="eastAsia"/>
        </w:rPr>
      </w:pPr>
      <w:r>
        <w:rPr>
          <w:rFonts w:hint="eastAsia"/>
        </w:rPr>
        <w:t>（2）重要性原则。对绩效评价指标在整个评价过程中的地位和作用进行筛选，选择最具有代表性、最能反映评价要求的绩效评价指标。</w:t>
      </w:r>
    </w:p>
    <w:p>
      <w:pPr>
        <w:pStyle w:val="10"/>
        <w:spacing w:before="120"/>
        <w:ind w:left="50" w:leftChars="25" w:firstLine="560" w:firstLineChars="200"/>
        <w:rPr>
          <w:rFonts w:hint="eastAsia"/>
        </w:rPr>
      </w:pPr>
      <w:r>
        <w:rPr>
          <w:rFonts w:hint="eastAsia"/>
        </w:rPr>
        <w:t>（3）可比性原则。对具有相似目标的工作选定共同的绩效目标，保证绩效结果可以相互比较。</w:t>
      </w:r>
    </w:p>
    <w:p>
      <w:pPr>
        <w:pStyle w:val="10"/>
        <w:spacing w:before="120"/>
        <w:ind w:left="50" w:leftChars="25" w:firstLine="560" w:firstLineChars="200"/>
        <w:rPr>
          <w:rFonts w:hint="eastAsia"/>
        </w:rPr>
      </w:pPr>
      <w:r>
        <w:rPr>
          <w:rFonts w:hint="eastAsia"/>
        </w:rPr>
        <w:t>（4）经济性原则。绩效评价指标要考虑现实条件和可操作性，能在合理的成本基础上取得绩效目标数据并进行评价。</w:t>
      </w:r>
    </w:p>
    <w:p>
      <w:pPr>
        <w:pStyle w:val="10"/>
        <w:spacing w:before="120"/>
        <w:ind w:left="50" w:leftChars="25" w:firstLine="560" w:firstLineChars="200"/>
        <w:rPr>
          <w:rFonts w:hint="eastAsia"/>
        </w:rPr>
      </w:pPr>
      <w:r>
        <w:rPr>
          <w:rFonts w:hint="eastAsia"/>
        </w:rPr>
        <w:t>（5）动态性原则。项目绩效评价是一个动态过程，反映专项资金项目绩效的指标体系同样不能一成不变，而应是动态性的、可补充的，可根据绩效评价工作的开展情况，不断调整、完善基本指标。</w:t>
      </w:r>
    </w:p>
    <w:p>
      <w:pPr>
        <w:pStyle w:val="10"/>
        <w:spacing w:before="120"/>
        <w:ind w:left="50" w:leftChars="25" w:firstLine="560" w:firstLineChars="200"/>
        <w:rPr>
          <w:rFonts w:hint="eastAsia"/>
        </w:rPr>
      </w:pPr>
      <w:r>
        <w:rPr>
          <w:rFonts w:hint="eastAsia"/>
        </w:rPr>
        <w:t>（6）系统性原则。应当将定量指标和定性指标相结合，系统反映财政支出所产生的社会效益、生态效益、经济效益和可持续影响等。</w:t>
      </w:r>
    </w:p>
    <w:p>
      <w:pPr>
        <w:pStyle w:val="10"/>
        <w:spacing w:before="120"/>
        <w:ind w:left="50" w:leftChars="25" w:firstLine="560" w:firstLineChars="200"/>
        <w:rPr>
          <w:rFonts w:hint="eastAsia"/>
        </w:rPr>
      </w:pPr>
      <w:r>
        <w:rPr>
          <w:rFonts w:hint="eastAsia"/>
        </w:rPr>
        <w:t>2.评价指标内容</w:t>
      </w:r>
    </w:p>
    <w:p>
      <w:pPr>
        <w:pStyle w:val="10"/>
        <w:spacing w:before="120"/>
        <w:ind w:left="50" w:leftChars="25" w:firstLine="560" w:firstLineChars="200"/>
        <w:rPr>
          <w:rFonts w:hint="eastAsia"/>
        </w:rPr>
      </w:pPr>
      <w:r>
        <w:rPr>
          <w:rFonts w:hint="eastAsia"/>
        </w:rPr>
        <w:t>按照财政部《关于印发&lt;项目支出绩效评价管理办法&gt;的通知》（财预〔2020〕10号）及自治区财政厅《关于开展2020年度自治区重点项目支出绩效评价的通知》（宁财（绩）发〔2021〕116号）的相关规定，本项目的指标体系由三级指标构成。</w:t>
      </w:r>
    </w:p>
    <w:p>
      <w:pPr>
        <w:pStyle w:val="10"/>
        <w:spacing w:before="120"/>
        <w:ind w:left="50" w:leftChars="25" w:firstLine="560" w:firstLineChars="200"/>
        <w:rPr>
          <w:rFonts w:hint="eastAsia"/>
        </w:rPr>
      </w:pPr>
      <w:r>
        <w:rPr>
          <w:rFonts w:hint="eastAsia"/>
        </w:rPr>
        <w:t>根据上述指标体系的确定方法，该项目指标体系构成中，指标体系的权重分配为：</w:t>
      </w:r>
    </w:p>
    <w:p>
      <w:pPr>
        <w:pStyle w:val="10"/>
        <w:spacing w:before="120"/>
        <w:ind w:left="50" w:leftChars="25" w:firstLine="560" w:firstLineChars="200"/>
        <w:rPr>
          <w:rFonts w:hint="eastAsia"/>
        </w:rPr>
      </w:pPr>
      <w:r>
        <w:rPr>
          <w:rFonts w:hint="eastAsia"/>
        </w:rPr>
        <w:t>决策占15%、过程占24%、产出占26%、效益占35%。</w:t>
      </w:r>
    </w:p>
    <w:p>
      <w:pPr>
        <w:pStyle w:val="10"/>
        <w:spacing w:before="120"/>
        <w:ind w:left="50" w:leftChars="25" w:firstLine="560" w:firstLineChars="200"/>
        <w:rPr>
          <w:rFonts w:hint="eastAsia"/>
        </w:rPr>
      </w:pPr>
      <w:r>
        <w:rPr>
          <w:rFonts w:hint="eastAsia"/>
        </w:rPr>
        <w:t>（1）决策下设3个二级指标，分别为：项目立项（4%）、绩效目标（7%）和资金投入（4%）。</w:t>
      </w:r>
    </w:p>
    <w:p>
      <w:pPr>
        <w:pStyle w:val="10"/>
        <w:spacing w:before="120"/>
        <w:ind w:left="50" w:leftChars="25" w:firstLine="560" w:firstLineChars="200"/>
        <w:rPr>
          <w:rFonts w:hint="eastAsia"/>
        </w:rPr>
      </w:pPr>
      <w:r>
        <w:rPr>
          <w:rFonts w:hint="eastAsia"/>
        </w:rPr>
        <w:t>（2）过程下设2个二级指标，分别为：资金管理（12%）和组织实施（12%）。</w:t>
      </w:r>
    </w:p>
    <w:p>
      <w:pPr>
        <w:pStyle w:val="10"/>
        <w:spacing w:before="120"/>
        <w:ind w:left="50" w:leftChars="25" w:firstLine="560" w:firstLineChars="200"/>
        <w:rPr>
          <w:rFonts w:hint="eastAsia"/>
        </w:rPr>
      </w:pPr>
      <w:r>
        <w:rPr>
          <w:rFonts w:hint="eastAsia"/>
        </w:rPr>
        <w:t>（3）产出下设4个二级指标，分别为：产出数量（10%）、产出质量（5%）、产出成本（5%）和产出时效（6%）。</w:t>
      </w:r>
    </w:p>
    <w:p>
      <w:pPr>
        <w:pStyle w:val="10"/>
        <w:spacing w:before="120"/>
        <w:ind w:left="50" w:leftChars="25" w:firstLine="560" w:firstLineChars="200"/>
        <w:rPr>
          <w:rFonts w:hint="eastAsia"/>
        </w:rPr>
      </w:pPr>
      <w:r>
        <w:rPr>
          <w:rFonts w:hint="eastAsia"/>
        </w:rPr>
        <w:t>（4）效益下设2个二级指标，分别为：项目效益（</w:t>
      </w:r>
      <w:r>
        <w:t>2</w:t>
      </w:r>
      <w:r>
        <w:rPr>
          <w:rFonts w:hint="eastAsia"/>
        </w:rPr>
        <w:t>5%）和项目效果（</w:t>
      </w:r>
      <w:r>
        <w:t>1</w:t>
      </w:r>
      <w:r>
        <w:rPr>
          <w:rFonts w:hint="eastAsia"/>
        </w:rPr>
        <w:t>0%）。</w:t>
      </w:r>
    </w:p>
    <w:p>
      <w:pPr>
        <w:pStyle w:val="10"/>
        <w:spacing w:before="120"/>
        <w:ind w:left="50" w:leftChars="25" w:firstLine="560" w:firstLineChars="200"/>
        <w:rPr>
          <w:rFonts w:hint="eastAsia"/>
        </w:rPr>
      </w:pPr>
      <w:r>
        <w:rPr>
          <w:rFonts w:hint="eastAsia"/>
        </w:rPr>
        <w:t>我们的绩效评价结果采用评分和评级相结合的方式，评价结果分优、良、中、差4个考评等级。依据我们制定的绩效评价指标体系打分后，综合得分在90（含）～100分为优，80（含）～90分为良，60（含）～80分为中，60分以下为差。</w:t>
      </w:r>
    </w:p>
    <w:p>
      <w:pPr>
        <w:pStyle w:val="10"/>
        <w:spacing w:before="120"/>
        <w:ind w:left="50" w:leftChars="25" w:firstLine="560" w:firstLineChars="200"/>
        <w:rPr>
          <w:rFonts w:hint="eastAsia"/>
        </w:rPr>
      </w:pPr>
      <w:r>
        <w:rPr>
          <w:rFonts w:hint="eastAsia"/>
        </w:rPr>
        <w:t>3.评价方法</w:t>
      </w:r>
    </w:p>
    <w:p>
      <w:pPr>
        <w:pStyle w:val="10"/>
        <w:spacing w:before="120"/>
        <w:ind w:left="50" w:leftChars="25" w:firstLine="560" w:firstLineChars="200"/>
        <w:rPr>
          <w:rFonts w:hint="eastAsia"/>
        </w:rPr>
      </w:pPr>
      <w:r>
        <w:rPr>
          <w:rFonts w:hint="eastAsia"/>
        </w:rPr>
        <w:t>我们通过案卷研究法、比较法、因素分析法和公众评判法等相应的评价方法进行打分。</w:t>
      </w:r>
    </w:p>
    <w:p>
      <w:pPr>
        <w:pStyle w:val="10"/>
        <w:spacing w:before="120"/>
        <w:ind w:left="50" w:leftChars="25" w:firstLine="560" w:firstLineChars="200"/>
        <w:rPr>
          <w:rFonts w:hint="eastAsia"/>
        </w:rPr>
      </w:pPr>
      <w:r>
        <w:rPr>
          <w:rFonts w:hint="eastAsia"/>
        </w:rPr>
        <w:t>（1）案卷研究法：收集项目相关资料，进行研究，了解项目的申报及批复情况、实施内容、资金使用、产出成果等，为决策、过程、产出和效益四个维度的评价提供信息。</w:t>
      </w:r>
    </w:p>
    <w:p>
      <w:pPr>
        <w:pStyle w:val="10"/>
        <w:spacing w:before="120"/>
        <w:ind w:left="50" w:leftChars="25" w:firstLine="560" w:firstLineChars="200"/>
        <w:rPr>
          <w:rFonts w:hint="eastAsia"/>
        </w:rPr>
      </w:pPr>
      <w:r>
        <w:rPr>
          <w:rFonts w:hint="eastAsia"/>
        </w:rPr>
        <w:t>（2）比较法：通过查阅项目的成果资料，将项目的产出数量、产出质量、产出时效与绩效目标进行对比；通过查阅项目的财务资料，将项目的产出成本与绩效目标进行对比。通过以上对比，全面评价项目的产出情况。</w:t>
      </w:r>
    </w:p>
    <w:p>
      <w:pPr>
        <w:pStyle w:val="10"/>
        <w:spacing w:before="120"/>
        <w:ind w:left="50" w:leftChars="25" w:firstLine="560" w:firstLineChars="200"/>
        <w:rPr>
          <w:rFonts w:hint="eastAsia"/>
        </w:rPr>
      </w:pPr>
      <w:r>
        <w:rPr>
          <w:rFonts w:hint="eastAsia"/>
        </w:rPr>
        <w:t>（3）因素分析法：识别影响项目实施过程和成果的关键因素，对未达到预定绩效目标的偏差事项进行分析，确定偏差原因。</w:t>
      </w:r>
    </w:p>
    <w:p>
      <w:pPr>
        <w:pStyle w:val="10"/>
        <w:spacing w:before="120"/>
        <w:ind w:left="50" w:leftChars="25" w:firstLine="560" w:firstLineChars="200"/>
        <w:rPr>
          <w:rFonts w:hint="eastAsia"/>
        </w:rPr>
      </w:pPr>
      <w:r>
        <w:rPr>
          <w:rFonts w:hint="eastAsia"/>
        </w:rPr>
        <w:t>（4）公众评判法：根据评价指标需要，有针对性地根据项目内容设计调查问卷，就项目的实施效益以及满意度对利益相关方开展问卷调查，以求切实反映项目所取得的效果。</w:t>
      </w:r>
    </w:p>
    <w:p>
      <w:pPr>
        <w:pStyle w:val="10"/>
        <w:spacing w:before="120"/>
        <w:ind w:left="50" w:leftChars="25" w:firstLine="560" w:firstLineChars="200"/>
        <w:rPr>
          <w:rFonts w:hint="eastAsia"/>
        </w:rPr>
      </w:pPr>
      <w:r>
        <w:rPr>
          <w:rFonts w:hint="eastAsia"/>
        </w:rPr>
        <w:t>4.评价标准</w:t>
      </w:r>
    </w:p>
    <w:p>
      <w:pPr>
        <w:pStyle w:val="10"/>
        <w:spacing w:before="120"/>
        <w:ind w:left="50" w:leftChars="25" w:firstLine="560" w:firstLineChars="200"/>
        <w:rPr>
          <w:rFonts w:hint="eastAsia"/>
        </w:rPr>
      </w:pPr>
      <w:r>
        <w:rPr>
          <w:rFonts w:hint="eastAsia"/>
        </w:rPr>
        <w:t>绩效评价标准主要为计划标准，用于对绩效指标完成情况进行比较。计划标准是指预先执行的目标、计划、预算、定额等作为评价标准。</w:t>
      </w:r>
    </w:p>
    <w:p>
      <w:pPr>
        <w:pStyle w:val="10"/>
        <w:spacing w:before="120"/>
        <w:ind w:left="50" w:leftChars="25" w:firstLine="560" w:firstLineChars="200"/>
        <w:rPr>
          <w:rFonts w:hint="eastAsia"/>
        </w:rPr>
      </w:pPr>
      <w:r>
        <w:rPr>
          <w:rFonts w:hint="eastAsia"/>
        </w:rPr>
        <w:t>（六）绩效评价实施情况</w:t>
      </w:r>
    </w:p>
    <w:p>
      <w:pPr>
        <w:pStyle w:val="10"/>
        <w:spacing w:before="120"/>
        <w:ind w:left="50" w:leftChars="25" w:firstLine="560" w:firstLineChars="200"/>
        <w:rPr>
          <w:rFonts w:hint="eastAsia"/>
        </w:rPr>
      </w:pPr>
      <w:r>
        <w:rPr>
          <w:rFonts w:hint="eastAsia"/>
        </w:rPr>
        <w:t>我们在对项目背景和实施过程进行调研的基础上，梳理本次绩效评价的内容和目标，并围绕项目的绩效目标设计绩效评价指标体系和绩效评价所需资料清单、工作底稿以及调查问卷。我们按照评价方案，开展了采集数据、分析项目绩效、撰写和提交报告等工作。具体评价工作流程如下：</w:t>
      </w:r>
    </w:p>
    <w:p>
      <w:pPr>
        <w:pStyle w:val="10"/>
        <w:spacing w:before="120"/>
        <w:ind w:left="50" w:leftChars="25" w:firstLine="560" w:firstLineChars="200"/>
        <w:rPr>
          <w:rFonts w:hint="eastAsia"/>
        </w:rPr>
      </w:pPr>
      <w:r>
        <w:rPr>
          <w:rFonts w:hint="eastAsia"/>
        </w:rPr>
        <w:t>1．前期准备</w:t>
      </w:r>
    </w:p>
    <w:p>
      <w:pPr>
        <w:pStyle w:val="10"/>
        <w:spacing w:before="120"/>
        <w:ind w:left="50" w:leftChars="25" w:firstLine="560" w:firstLineChars="200"/>
        <w:rPr>
          <w:rFonts w:hint="eastAsia"/>
        </w:rPr>
      </w:pPr>
      <w:r>
        <w:rPr>
          <w:rFonts w:hint="eastAsia"/>
        </w:rPr>
        <w:t>（1）成立评价小组，根据评价项目内容和实际情况，确定评价小组成员，并对项目组人员进行业务培训，包括对项目的理解，了解学习项目相关背景、政策文件和内容、绩效目标和效果，统一评价思路和方法，落实评价任务；</w:t>
      </w:r>
    </w:p>
    <w:p>
      <w:pPr>
        <w:pStyle w:val="10"/>
        <w:spacing w:before="120"/>
        <w:ind w:left="50" w:leftChars="25" w:firstLine="560" w:firstLineChars="200"/>
        <w:rPr>
          <w:rFonts w:hint="eastAsia"/>
        </w:rPr>
      </w:pPr>
      <w:r>
        <w:rPr>
          <w:rFonts w:hint="eastAsia"/>
        </w:rPr>
        <w:t>（2）评价前调研，与项目相关部门工作人员联系，收集政策法规和项目相关资料，准备评价实施阶段所需收集的资料清单；</w:t>
      </w:r>
    </w:p>
    <w:p>
      <w:pPr>
        <w:pStyle w:val="10"/>
        <w:spacing w:before="120"/>
        <w:ind w:left="50" w:leftChars="25" w:firstLine="560" w:firstLineChars="200"/>
        <w:rPr>
          <w:rFonts w:hint="eastAsia"/>
        </w:rPr>
      </w:pPr>
      <w:r>
        <w:rPr>
          <w:rFonts w:hint="eastAsia"/>
        </w:rPr>
        <w:t>（3）设计评价指标，编制项目评价方案和相关调查问卷。</w:t>
      </w:r>
    </w:p>
    <w:p>
      <w:pPr>
        <w:pStyle w:val="10"/>
        <w:spacing w:before="120"/>
        <w:ind w:left="50" w:leftChars="25" w:firstLine="560" w:firstLineChars="200"/>
        <w:rPr>
          <w:rFonts w:hint="eastAsia"/>
        </w:rPr>
      </w:pPr>
      <w:r>
        <w:rPr>
          <w:rFonts w:hint="eastAsia"/>
        </w:rPr>
        <w:t>2．组织实施</w:t>
      </w:r>
    </w:p>
    <w:p>
      <w:pPr>
        <w:pStyle w:val="10"/>
        <w:spacing w:before="120"/>
        <w:ind w:left="50" w:leftChars="25" w:firstLine="560" w:firstLineChars="200"/>
        <w:rPr>
          <w:rFonts w:hint="eastAsia"/>
        </w:rPr>
      </w:pPr>
      <w:r>
        <w:rPr>
          <w:rFonts w:hint="eastAsia"/>
        </w:rPr>
        <w:t>（1）联系项目实施单位，下发资料清单并确定现场评价时间；</w:t>
      </w:r>
    </w:p>
    <w:p>
      <w:pPr>
        <w:pStyle w:val="10"/>
        <w:spacing w:before="120"/>
        <w:ind w:left="50" w:leftChars="25" w:firstLine="516" w:firstLineChars="200"/>
        <w:rPr>
          <w:rFonts w:hint="eastAsia"/>
          <w:spacing w:val="-11"/>
          <w:sz w:val="28"/>
        </w:rPr>
      </w:pPr>
      <w:r>
        <w:rPr>
          <w:rFonts w:hint="eastAsia"/>
          <w:spacing w:val="-11"/>
          <w:sz w:val="28"/>
        </w:rPr>
        <w:t>（2）收集数据，包括对基础数据、问卷调查和访谈等数据的收集；</w:t>
      </w:r>
    </w:p>
    <w:p>
      <w:pPr>
        <w:pStyle w:val="10"/>
        <w:spacing w:before="120"/>
        <w:ind w:left="50" w:leftChars="25" w:firstLine="560" w:firstLineChars="200"/>
        <w:rPr>
          <w:rFonts w:hint="eastAsia"/>
        </w:rPr>
      </w:pPr>
      <w:r>
        <w:rPr>
          <w:rFonts w:hint="eastAsia"/>
        </w:rPr>
        <w:t>（3）审核、分析数据，并计算评价结果；</w:t>
      </w:r>
    </w:p>
    <w:p>
      <w:pPr>
        <w:pStyle w:val="10"/>
        <w:spacing w:before="120"/>
        <w:ind w:left="50" w:leftChars="25" w:firstLine="560" w:firstLineChars="200"/>
        <w:rPr>
          <w:rFonts w:hint="eastAsia"/>
        </w:rPr>
      </w:pPr>
      <w:r>
        <w:rPr>
          <w:rFonts w:hint="eastAsia"/>
        </w:rPr>
        <w:t>（4）编制工作底稿；</w:t>
      </w:r>
    </w:p>
    <w:p>
      <w:pPr>
        <w:pStyle w:val="10"/>
        <w:spacing w:before="120"/>
        <w:ind w:left="50" w:leftChars="25" w:firstLine="560" w:firstLineChars="200"/>
        <w:rPr>
          <w:rFonts w:hint="eastAsia"/>
        </w:rPr>
      </w:pPr>
      <w:r>
        <w:rPr>
          <w:rFonts w:hint="eastAsia"/>
        </w:rPr>
        <w:t>（5）征求项目相关方的意见。</w:t>
      </w:r>
    </w:p>
    <w:p>
      <w:pPr>
        <w:pStyle w:val="10"/>
        <w:spacing w:before="120"/>
        <w:ind w:left="50" w:leftChars="25" w:firstLine="560" w:firstLineChars="200"/>
        <w:rPr>
          <w:rFonts w:hint="eastAsia"/>
        </w:rPr>
      </w:pPr>
      <w:r>
        <w:rPr>
          <w:rFonts w:hint="eastAsia"/>
        </w:rPr>
        <w:t>3．撰写并提交评价报告</w:t>
      </w:r>
    </w:p>
    <w:p>
      <w:pPr>
        <w:pStyle w:val="10"/>
        <w:spacing w:before="120"/>
        <w:ind w:left="50" w:leftChars="25" w:firstLine="560" w:firstLineChars="200"/>
        <w:rPr>
          <w:rFonts w:hint="eastAsia"/>
        </w:rPr>
      </w:pPr>
      <w:r>
        <w:rPr>
          <w:rFonts w:hint="eastAsia"/>
        </w:rPr>
        <w:t>（1）撰写评价报告初稿；</w:t>
      </w:r>
    </w:p>
    <w:p>
      <w:pPr>
        <w:pStyle w:val="10"/>
        <w:spacing w:before="120"/>
        <w:ind w:left="50" w:leftChars="25" w:firstLine="560" w:firstLineChars="200"/>
        <w:rPr>
          <w:rFonts w:hint="eastAsia"/>
        </w:rPr>
      </w:pPr>
      <w:r>
        <w:rPr>
          <w:rFonts w:hint="eastAsia"/>
        </w:rPr>
        <w:t>（2）就评价初稿征求相关单位的意见；</w:t>
      </w:r>
    </w:p>
    <w:p>
      <w:pPr>
        <w:pStyle w:val="10"/>
        <w:spacing w:before="120"/>
        <w:ind w:left="50" w:leftChars="25" w:firstLine="560" w:firstLineChars="200"/>
        <w:rPr>
          <w:rFonts w:hint="eastAsia"/>
        </w:rPr>
      </w:pPr>
      <w:r>
        <w:rPr>
          <w:rFonts w:hint="eastAsia"/>
        </w:rPr>
        <w:t>（3）向委托方提交评价报告，并根据报告评审意见进行修订，形成正式报告；</w:t>
      </w:r>
    </w:p>
    <w:p>
      <w:pPr>
        <w:pStyle w:val="10"/>
        <w:spacing w:before="120"/>
        <w:ind w:left="50" w:leftChars="25" w:firstLine="560" w:firstLineChars="200"/>
        <w:rPr>
          <w:rFonts w:hint="eastAsia"/>
        </w:rPr>
      </w:pPr>
      <w:r>
        <w:rPr>
          <w:rFonts w:hint="eastAsia"/>
        </w:rPr>
        <w:t>（4）提交正式评价报告；</w:t>
      </w:r>
    </w:p>
    <w:p>
      <w:pPr>
        <w:pStyle w:val="10"/>
        <w:spacing w:before="120"/>
        <w:ind w:left="50" w:leftChars="25" w:firstLine="560" w:firstLineChars="200"/>
        <w:rPr>
          <w:rFonts w:hint="eastAsia"/>
        </w:rPr>
      </w:pPr>
      <w:r>
        <w:rPr>
          <w:rFonts w:hint="eastAsia"/>
        </w:rPr>
        <w:t>（5）资料归档。</w:t>
      </w:r>
    </w:p>
    <w:p>
      <w:pPr>
        <w:pStyle w:val="10"/>
        <w:spacing w:before="120"/>
        <w:ind w:left="50" w:leftChars="25" w:firstLine="562" w:firstLineChars="200"/>
        <w:rPr>
          <w:rFonts w:hint="eastAsia"/>
          <w:b/>
          <w:bCs/>
        </w:rPr>
      </w:pPr>
      <w:r>
        <w:rPr>
          <w:rFonts w:hint="eastAsia"/>
          <w:b/>
          <w:bCs/>
        </w:rPr>
        <w:t>三、综合评价情况及评价结论</w:t>
      </w:r>
    </w:p>
    <w:p>
      <w:pPr>
        <w:pStyle w:val="10"/>
        <w:spacing w:before="120"/>
        <w:ind w:left="50" w:leftChars="25" w:firstLine="562" w:firstLineChars="200"/>
        <w:rPr>
          <w:rFonts w:hint="eastAsia"/>
          <w:b/>
          <w:bCs/>
        </w:rPr>
      </w:pPr>
      <w:r>
        <w:rPr>
          <w:rFonts w:hint="eastAsia"/>
          <w:b/>
          <w:bCs/>
        </w:rPr>
        <w:t>（一）评价得分过程</w:t>
      </w:r>
    </w:p>
    <w:p>
      <w:pPr>
        <w:pStyle w:val="10"/>
        <w:spacing w:before="120"/>
        <w:ind w:left="50" w:leftChars="25" w:firstLine="560" w:firstLineChars="200"/>
        <w:rPr>
          <w:rFonts w:hint="eastAsia"/>
        </w:rPr>
      </w:pPr>
      <w:r>
        <w:rPr>
          <w:rFonts w:hint="eastAsia"/>
        </w:rPr>
        <w:t>根据绩效评价的基本原理、原则和项目特点，结合绩效目标，由评价小组按照逻辑分析法，并参考自治区财政厅相关规定，独立编制科学的指标体系，主要围绕资金投入、使用和项目实施产出和效益等客观分析项目的产出和效果，体现从投入、过程到产出、效果和影响的绩效逻辑路径，内在逻辑的一致性也增强了评价的科学性、严谨性和可行性，具体从决策、过程、产出、效益四个方面评价。</w:t>
      </w:r>
    </w:p>
    <w:p>
      <w:pPr>
        <w:pStyle w:val="10"/>
        <w:spacing w:before="120"/>
        <w:ind w:left="50" w:leftChars="25" w:firstLine="560" w:firstLineChars="200"/>
        <w:rPr>
          <w:rFonts w:hint="eastAsia"/>
        </w:rPr>
      </w:pPr>
      <w:r>
        <w:rPr>
          <w:rFonts w:hint="eastAsia"/>
        </w:rPr>
        <w:t>依据财政部《财政支出绩效评价管理办法》，同时参考财政部《项目支出绩效评价指标体系框架》，我们成立了评价组，制定了工作方案，实施了收集资料、设计指标、实地抽查及调查等必要的程序，对照评价标准，通过专业判断，以扣减分值的方法进行评价打分。</w:t>
      </w:r>
    </w:p>
    <w:p>
      <w:pPr>
        <w:pStyle w:val="10"/>
        <w:spacing w:before="120"/>
        <w:ind w:left="50" w:leftChars="25" w:firstLine="562" w:firstLineChars="200"/>
        <w:rPr>
          <w:rFonts w:hint="eastAsia"/>
          <w:b/>
          <w:bCs/>
        </w:rPr>
      </w:pPr>
      <w:r>
        <w:rPr>
          <w:rFonts w:hint="eastAsia"/>
          <w:b/>
          <w:bCs/>
        </w:rPr>
        <w:t>(二）综合评价结论</w:t>
      </w:r>
    </w:p>
    <w:p>
      <w:pPr>
        <w:pStyle w:val="10"/>
        <w:spacing w:before="120"/>
        <w:ind w:left="50" w:leftChars="25" w:firstLine="560" w:firstLineChars="200"/>
        <w:rPr>
          <w:rFonts w:hint="eastAsia"/>
        </w:rPr>
      </w:pPr>
      <w:r>
        <w:rPr>
          <w:rFonts w:hint="eastAsia"/>
        </w:rPr>
        <w:t>项目立项与海原县残疾人联合会的职责范围相符，立项依据充分，项目决策和执行过程中基本遵守并执行了国家、自治区、市和县政府部门的相关规定。项目实施单位的管理制度健全；资金使用合法合规；项目单位相关制度完善且得到有效执行，但在制订项目效益的绩效目标方面仍需进一步细化和完善。评价小组向受益对象进行了问卷调查，截至评价日收到有效问卷回复50份。根据已收回调查问卷的反馈结果，受益对象的综合满意度为92.8</w:t>
      </w:r>
      <w:r>
        <w:t>%</w:t>
      </w:r>
      <w:r>
        <w:rPr>
          <w:rFonts w:hint="eastAsia"/>
        </w:rPr>
        <w:t>。通过本项目的实施，能够确保困难残疾人家庭不会因各种原因而重新陷入贫困的重要措施，有助于巩固已经取得的脱贫攻坚成果，可以促进乡村地区的经济发展和社会进步，为实现乡村振兴战略目标贡献力量。通过就业帮扶措施，旨在提高有劳动能力的残疾人的就业率，从而增加他们的收入水平，改善生活质量，针对每个困难残疾人家庭的具体情况，提供个性化的帮扶方案，确保他们能够得到最适合自己的帮助和支持，一家一年一事帮扶解困行动的实施对于保障困难残疾人家庭的基本生活、促进社会公平正义以及推动乡村全面振兴具有重要意义。</w:t>
      </w:r>
    </w:p>
    <w:p>
      <w:pPr>
        <w:pStyle w:val="10"/>
        <w:spacing w:before="120"/>
        <w:ind w:left="50" w:leftChars="25" w:firstLine="560" w:firstLineChars="200"/>
        <w:rPr>
          <w:rFonts w:hint="eastAsia"/>
        </w:rPr>
      </w:pPr>
      <w:r>
        <w:rPr>
          <w:rFonts w:hint="eastAsia"/>
        </w:rPr>
        <w:t>经评价，海原县困难残疾人家庭“一家一年一事”帮扶解困行动项目绩效评价综合得分为</w:t>
      </w:r>
      <w:r>
        <w:rPr>
          <w:rFonts w:hint="eastAsia"/>
          <w:b/>
          <w:bCs/>
        </w:rPr>
        <w:t>95.88分</w:t>
      </w:r>
      <w:r>
        <w:rPr>
          <w:rFonts w:hint="eastAsia"/>
        </w:rPr>
        <w:t>，财政支出绩效评价等级为“</w:t>
      </w:r>
      <w:r>
        <w:rPr>
          <w:rFonts w:hint="eastAsia"/>
          <w:b/>
          <w:bCs/>
        </w:rPr>
        <w:t>优</w:t>
      </w:r>
      <w:r>
        <w:rPr>
          <w:rFonts w:hint="eastAsia"/>
        </w:rPr>
        <w:t>”。具体如下表：</w:t>
      </w:r>
    </w:p>
    <w:tbl>
      <w:tblPr>
        <w:tblStyle w:val="27"/>
        <w:tblW w:w="8450"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17"/>
        <w:gridCol w:w="1389"/>
        <w:gridCol w:w="1369"/>
        <w:gridCol w:w="1375"/>
        <w:gridCol w:w="1513"/>
        <w:gridCol w:w="17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序号</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评价指标</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权重</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分值</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评价得分</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综合评价</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决策</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15%</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15</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14</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科学合理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过程</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24%</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24</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24</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管理有效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26%</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26</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26</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保质保量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1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4</w:t>
            </w:r>
          </w:p>
        </w:tc>
        <w:tc>
          <w:tcPr>
            <w:tcW w:w="13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效益</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35%</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35</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highlight w:val="yellow"/>
                <w:lang w:bidi="ar"/>
              </w:rPr>
            </w:pPr>
            <w:r>
              <w:rPr>
                <w:rFonts w:hint="eastAsia" w:ascii="楷体" w:hAnsi="楷体" w:eastAsia="楷体" w:cs="楷体"/>
                <w:color w:val="000000"/>
                <w:sz w:val="28"/>
                <w:szCs w:val="28"/>
                <w:lang w:bidi="ar"/>
              </w:rPr>
              <w:t>31.88</w:t>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效果良好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06" w:type="dxa"/>
            <w:gridSpan w:val="2"/>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综合绩效</w:t>
            </w:r>
          </w:p>
        </w:tc>
        <w:tc>
          <w:tcPr>
            <w:tcW w:w="136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100%</w:t>
            </w:r>
          </w:p>
        </w:tc>
        <w:tc>
          <w:tcPr>
            <w:tcW w:w="137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fldChar w:fldCharType="begin"/>
            </w:r>
            <w:r>
              <w:rPr>
                <w:rFonts w:hint="eastAsia" w:ascii="楷体" w:hAnsi="楷体" w:eastAsia="楷体" w:cs="楷体"/>
                <w:b/>
                <w:bCs/>
                <w:color w:val="000000"/>
                <w:sz w:val="28"/>
                <w:szCs w:val="28"/>
                <w:lang w:bidi="ar"/>
              </w:rPr>
              <w:instrText xml:space="preserve"> =SUM(ABOVE) \* MERGEFORMAT </w:instrText>
            </w:r>
            <w:r>
              <w:rPr>
                <w:rFonts w:hint="eastAsia" w:ascii="楷体" w:hAnsi="楷体" w:eastAsia="楷体" w:cs="楷体"/>
                <w:b/>
                <w:bCs/>
                <w:color w:val="000000"/>
                <w:sz w:val="28"/>
                <w:szCs w:val="28"/>
                <w:lang w:bidi="ar"/>
              </w:rPr>
              <w:fldChar w:fldCharType="separate"/>
            </w:r>
            <w:r>
              <w:rPr>
                <w:rFonts w:hint="eastAsia" w:ascii="楷体" w:hAnsi="楷体" w:eastAsia="楷体" w:cs="楷体"/>
                <w:b/>
                <w:bCs/>
                <w:color w:val="000000"/>
                <w:sz w:val="28"/>
                <w:szCs w:val="28"/>
                <w:lang w:bidi="ar"/>
              </w:rPr>
              <w:t>100</w:t>
            </w:r>
            <w:r>
              <w:rPr>
                <w:rFonts w:hint="eastAsia" w:ascii="楷体" w:hAnsi="楷体" w:eastAsia="楷体" w:cs="楷体"/>
                <w:b/>
                <w:bCs/>
                <w:color w:val="000000"/>
                <w:sz w:val="28"/>
                <w:szCs w:val="28"/>
                <w:lang w:bidi="ar"/>
              </w:rPr>
              <w:fldChar w:fldCharType="end"/>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highlight w:val="yellow"/>
                <w:lang w:bidi="ar"/>
              </w:rPr>
            </w:pPr>
            <w:r>
              <w:rPr>
                <w:rFonts w:hint="eastAsia" w:ascii="楷体" w:hAnsi="楷体" w:eastAsia="楷体" w:cs="楷体"/>
                <w:b/>
                <w:bCs/>
                <w:color w:val="000000"/>
                <w:sz w:val="28"/>
                <w:szCs w:val="28"/>
                <w:lang w:bidi="ar"/>
              </w:rPr>
              <w:fldChar w:fldCharType="begin"/>
            </w:r>
            <w:r>
              <w:rPr>
                <w:rFonts w:hint="eastAsia" w:ascii="楷体" w:hAnsi="楷体" w:eastAsia="楷体" w:cs="楷体"/>
                <w:b/>
                <w:bCs/>
                <w:color w:val="000000"/>
                <w:sz w:val="28"/>
                <w:szCs w:val="28"/>
                <w:lang w:bidi="ar"/>
              </w:rPr>
              <w:instrText xml:space="preserve"> =SUM(ABOVE) </w:instrText>
            </w:r>
            <w:r>
              <w:rPr>
                <w:rFonts w:hint="eastAsia" w:ascii="楷体" w:hAnsi="楷体" w:eastAsia="楷体" w:cs="楷体"/>
                <w:b/>
                <w:bCs/>
                <w:color w:val="000000"/>
                <w:sz w:val="28"/>
                <w:szCs w:val="28"/>
                <w:lang w:bidi="ar"/>
              </w:rPr>
              <w:fldChar w:fldCharType="separate"/>
            </w:r>
            <w:r>
              <w:rPr>
                <w:rFonts w:hint="eastAsia" w:ascii="楷体" w:hAnsi="楷体" w:eastAsia="楷体" w:cs="楷体"/>
                <w:b/>
                <w:bCs/>
                <w:color w:val="000000"/>
                <w:sz w:val="28"/>
                <w:szCs w:val="28"/>
                <w:lang w:bidi="ar"/>
              </w:rPr>
              <w:t>95.88</w:t>
            </w:r>
            <w:r>
              <w:rPr>
                <w:rFonts w:hint="eastAsia" w:ascii="楷体" w:hAnsi="楷体" w:eastAsia="楷体" w:cs="楷体"/>
                <w:b/>
                <w:bCs/>
                <w:color w:val="000000"/>
                <w:sz w:val="28"/>
                <w:szCs w:val="28"/>
                <w:lang w:bidi="ar"/>
              </w:rPr>
              <w:fldChar w:fldCharType="end"/>
            </w:r>
          </w:p>
        </w:tc>
        <w:tc>
          <w:tcPr>
            <w:tcW w:w="178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优</w:t>
            </w:r>
          </w:p>
        </w:tc>
      </w:tr>
    </w:tbl>
    <w:p>
      <w:pPr>
        <w:pStyle w:val="10"/>
        <w:numPr>
          <w:ilvl w:val="0"/>
          <w:numId w:val="3"/>
        </w:numPr>
        <w:spacing w:before="120"/>
        <w:ind w:left="50" w:leftChars="25" w:firstLine="560" w:firstLineChars="200"/>
        <w:rPr>
          <w:rFonts w:hint="eastAsia"/>
        </w:rPr>
      </w:pPr>
      <w:r>
        <w:rPr>
          <w:rFonts w:hint="eastAsia"/>
        </w:rPr>
        <w:t>绩效评价指标分析</w:t>
      </w:r>
    </w:p>
    <w:p>
      <w:pPr>
        <w:pStyle w:val="10"/>
        <w:spacing w:before="120"/>
        <w:ind w:left="50" w:leftChars="25" w:firstLine="560" w:firstLineChars="200"/>
        <w:rPr>
          <w:rFonts w:hint="eastAsia"/>
        </w:rPr>
      </w:pPr>
      <w:r>
        <w:rPr>
          <w:rFonts w:hint="eastAsia"/>
        </w:rPr>
        <w:t>（一）项目决策情况</w:t>
      </w:r>
    </w:p>
    <w:p>
      <w:pPr>
        <w:pStyle w:val="10"/>
        <w:spacing w:before="120"/>
        <w:ind w:left="50" w:leftChars="25" w:firstLine="560" w:firstLineChars="200"/>
        <w:rPr>
          <w:rFonts w:hint="eastAsia"/>
        </w:rPr>
      </w:pPr>
      <w:r>
        <w:rPr>
          <w:rFonts w:hint="eastAsia"/>
        </w:rPr>
        <w:t>本次绩效评价主要从项目立项、绩效目标及资金投入三个方面对立项依据充分性、立项程序规范性、绩效目标合理性、绩效目标明确性、预算编制科学性和资金分配合理性等方面进行评价分析。该部分分值为15分，评价得分14分，具体见下表：</w:t>
      </w:r>
    </w:p>
    <w:tbl>
      <w:tblPr>
        <w:tblStyle w:val="27"/>
        <w:tblW w:w="8435"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528"/>
        <w:gridCol w:w="2299"/>
        <w:gridCol w:w="1513"/>
        <w:gridCol w:w="16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90" w:type="dxa"/>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一级指标</w:t>
            </w:r>
          </w:p>
        </w:tc>
        <w:tc>
          <w:tcPr>
            <w:tcW w:w="1528" w:type="dxa"/>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二级指标</w:t>
            </w:r>
          </w:p>
        </w:tc>
        <w:tc>
          <w:tcPr>
            <w:tcW w:w="229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三级指标</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分值</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评价得分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restart"/>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决策</w:t>
            </w:r>
          </w:p>
        </w:tc>
        <w:tc>
          <w:tcPr>
            <w:tcW w:w="1528" w:type="dxa"/>
            <w:vMerge w:val="restart"/>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项目立项</w:t>
            </w:r>
          </w:p>
        </w:tc>
        <w:tc>
          <w:tcPr>
            <w:tcW w:w="229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立项依据充分性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28" w:type="dxa"/>
            <w:vMerge w:val="continue"/>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229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立项程序规范性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28" w:type="dxa"/>
            <w:vMerge w:val="restart"/>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绩效目标</w:t>
            </w:r>
          </w:p>
        </w:tc>
        <w:tc>
          <w:tcPr>
            <w:tcW w:w="229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绩效目标合理性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5</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28" w:type="dxa"/>
            <w:vMerge w:val="continue"/>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229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绩效目标明确性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ascii="楷体" w:hAnsi="楷体" w:eastAsia="楷体" w:cs="楷体"/>
                <w:color w:val="000000"/>
                <w:sz w:val="28"/>
                <w:szCs w:val="28"/>
                <w:lang w:bidi="ar"/>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28" w:type="dxa"/>
            <w:vMerge w:val="restart"/>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资金投入</w:t>
            </w:r>
          </w:p>
        </w:tc>
        <w:tc>
          <w:tcPr>
            <w:tcW w:w="229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预算编制科学性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28" w:type="dxa"/>
            <w:vMerge w:val="continue"/>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2299" w:type="dxa"/>
            <w:tcBorders>
              <w:tl2br w:val="nil"/>
              <w:tr2bl w:val="nil"/>
            </w:tcBorders>
            <w:vAlign w:val="center"/>
          </w:tcPr>
          <w:p>
            <w:pPr>
              <w:spacing w:before="120" w:after="120"/>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资金分配合理性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5317" w:type="dxa"/>
            <w:gridSpan w:val="3"/>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合计</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15</w:t>
            </w:r>
          </w:p>
        </w:tc>
        <w:tc>
          <w:tcPr>
            <w:tcW w:w="160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14</w:t>
            </w:r>
          </w:p>
        </w:tc>
      </w:tr>
    </w:tbl>
    <w:p>
      <w:pPr>
        <w:pStyle w:val="10"/>
        <w:numPr>
          <w:ilvl w:val="0"/>
          <w:numId w:val="4"/>
        </w:numPr>
        <w:spacing w:before="120"/>
        <w:ind w:left="50" w:leftChars="25" w:firstLine="560" w:firstLineChars="200"/>
        <w:rPr>
          <w:rFonts w:hint="eastAsia"/>
        </w:rPr>
      </w:pPr>
      <w:r>
        <w:rPr>
          <w:rFonts w:hint="eastAsia"/>
        </w:rPr>
        <w:t>项目立项</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以国家行政法规及自治区规范性文件为立项依据，符合自治区相关文件的发展规划和政策要求，申报、批复程序符合相关管理办法，立项依据充分，立项程序规范。在项目立项方面的得分为4分（满分4分）。</w:t>
      </w:r>
    </w:p>
    <w:p>
      <w:pPr>
        <w:pStyle w:val="10"/>
        <w:numPr>
          <w:ilvl w:val="0"/>
          <w:numId w:val="4"/>
        </w:numPr>
        <w:spacing w:before="120"/>
        <w:ind w:left="50" w:leftChars="25" w:firstLine="560" w:firstLineChars="200"/>
        <w:rPr>
          <w:rFonts w:hint="eastAsia"/>
        </w:rPr>
      </w:pPr>
      <w:r>
        <w:rPr>
          <w:rFonts w:hint="eastAsia"/>
        </w:rPr>
        <w:t>绩效目标</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经评价，项目实施单位制订了实施方案，设置了指标值，项目实施与海原县残疾人联合会的职责范围相符，但在指标具体细化、量化方面尚需进一步完善。在绩效目标方面的得分为6分（满分7分）。</w:t>
      </w:r>
    </w:p>
    <w:p>
      <w:pPr>
        <w:pStyle w:val="10"/>
        <w:spacing w:before="120"/>
        <w:ind w:left="50" w:leftChars="25" w:firstLine="560" w:firstLineChars="200"/>
        <w:rPr>
          <w:rFonts w:hint="eastAsia"/>
        </w:rPr>
      </w:pPr>
      <w:r>
        <w:rPr>
          <w:rFonts w:hint="eastAsia"/>
        </w:rPr>
        <w:t>3．资金投入</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经评价，本项目预算编制已经过科学论证、有明确标准，资金额度与年度目标相适应，资金分配科学、合理。在资金投入方面的得分为4分（满分4分）。</w:t>
      </w:r>
    </w:p>
    <w:p>
      <w:pPr>
        <w:pStyle w:val="10"/>
        <w:spacing w:before="120"/>
        <w:ind w:left="50" w:leftChars="25" w:firstLine="560" w:firstLineChars="200"/>
        <w:rPr>
          <w:rFonts w:hint="eastAsia"/>
        </w:rPr>
      </w:pPr>
      <w:r>
        <w:rPr>
          <w:rFonts w:hint="eastAsia"/>
        </w:rPr>
        <w:t>（二）项目实施过程情况</w:t>
      </w:r>
    </w:p>
    <w:p>
      <w:pPr>
        <w:pStyle w:val="10"/>
        <w:spacing w:before="120"/>
        <w:ind w:left="50" w:leftChars="25" w:firstLine="560" w:firstLineChars="200"/>
        <w:rPr>
          <w:rFonts w:hint="eastAsia"/>
        </w:rPr>
      </w:pPr>
      <w:r>
        <w:rPr>
          <w:rFonts w:hint="eastAsia"/>
        </w:rPr>
        <w:t>本次绩效评价主要从资金管理和组织实施两个方面对资金到位情况、预算执行情况、资金使用合规性、管理制度健全性和制度执行有效性等方面进行评价分析。该部分分值为24分，评价得分24分，具体见下表：</w:t>
      </w:r>
    </w:p>
    <w:p>
      <w:pPr>
        <w:pStyle w:val="10"/>
        <w:spacing w:before="120"/>
        <w:ind w:left="50" w:leftChars="25" w:firstLine="560" w:firstLineChars="200"/>
        <w:rPr>
          <w:rFonts w:hint="eastAsia"/>
        </w:rPr>
      </w:pPr>
    </w:p>
    <w:tbl>
      <w:tblPr>
        <w:tblStyle w:val="27"/>
        <w:tblW w:w="8577"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417"/>
        <w:gridCol w:w="2410"/>
        <w:gridCol w:w="1513"/>
        <w:gridCol w:w="174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90" w:type="dxa"/>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一级指标</w:t>
            </w:r>
          </w:p>
        </w:tc>
        <w:tc>
          <w:tcPr>
            <w:tcW w:w="1417" w:type="dxa"/>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二级指标</w:t>
            </w:r>
          </w:p>
        </w:tc>
        <w:tc>
          <w:tcPr>
            <w:tcW w:w="2410"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三级指标</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分值</w:t>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评价得分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90" w:type="dxa"/>
            <w:vMerge w:val="restart"/>
            <w:tcBorders>
              <w:righ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过程</w:t>
            </w:r>
          </w:p>
        </w:tc>
        <w:tc>
          <w:tcPr>
            <w:tcW w:w="1417" w:type="dxa"/>
            <w:vMerge w:val="restart"/>
            <w:tcBorders>
              <w:lef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资金管理</w:t>
            </w:r>
          </w:p>
        </w:tc>
        <w:tc>
          <w:tcPr>
            <w:tcW w:w="2410" w:type="dxa"/>
            <w:tcBorders>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资金到位情况</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4</w:t>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490" w:type="dxa"/>
            <w:vMerge w:val="continue"/>
            <w:tcBorders>
              <w:righ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1417" w:type="dxa"/>
            <w:vMerge w:val="continue"/>
            <w:tcBorders>
              <w:lef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2410" w:type="dxa"/>
            <w:tcBorders>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预算执行情况</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1417" w:type="dxa"/>
            <w:vMerge w:val="continue"/>
            <w:tcBorders>
              <w:lef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2410" w:type="dxa"/>
            <w:tcBorders>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资金使用合规性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6</w:t>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1417" w:type="dxa"/>
            <w:vMerge w:val="restart"/>
            <w:tcBorders>
              <w:lef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组织实施</w:t>
            </w:r>
          </w:p>
        </w:tc>
        <w:tc>
          <w:tcPr>
            <w:tcW w:w="2410" w:type="dxa"/>
            <w:tcBorders>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管理制度健全性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4</w:t>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1417" w:type="dxa"/>
            <w:vMerge w:val="continue"/>
            <w:tcBorders>
              <w:left w:val="single" w:color="auto" w:sz="2" w:space="0"/>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p>
        </w:tc>
        <w:tc>
          <w:tcPr>
            <w:tcW w:w="2410" w:type="dxa"/>
            <w:tcBorders>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制度执行有效性</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8</w:t>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317" w:type="dxa"/>
            <w:gridSpan w:val="3"/>
            <w:tcBorders>
              <w:tl2br w:val="nil"/>
              <w:tr2bl w:val="nil"/>
            </w:tcBorders>
            <w:vAlign w:val="center"/>
          </w:tcPr>
          <w:p>
            <w:pPr>
              <w:spacing w:before="120" w:after="120"/>
              <w:ind w:left="50" w:leftChars="25"/>
              <w:jc w:val="both"/>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合计</w:t>
            </w:r>
          </w:p>
        </w:tc>
        <w:tc>
          <w:tcPr>
            <w:tcW w:w="1513"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fldChar w:fldCharType="begin"/>
            </w:r>
            <w:r>
              <w:rPr>
                <w:rFonts w:hint="eastAsia" w:ascii="楷体" w:hAnsi="楷体" w:eastAsia="楷体" w:cs="楷体"/>
                <w:color w:val="000000"/>
                <w:sz w:val="28"/>
                <w:szCs w:val="28"/>
                <w:lang w:bidi="ar"/>
              </w:rPr>
              <w:instrText xml:space="preserve"> =SUM(ABOVE) \* MERGEFORMAT </w:instrText>
            </w:r>
            <w:r>
              <w:rPr>
                <w:rFonts w:hint="eastAsia" w:ascii="楷体" w:hAnsi="楷体" w:eastAsia="楷体" w:cs="楷体"/>
                <w:color w:val="000000"/>
                <w:sz w:val="28"/>
                <w:szCs w:val="28"/>
                <w:lang w:bidi="ar"/>
              </w:rPr>
              <w:fldChar w:fldCharType="separate"/>
            </w:r>
            <w:r>
              <w:rPr>
                <w:rFonts w:hint="eastAsia" w:ascii="楷体" w:hAnsi="楷体" w:eastAsia="楷体" w:cs="楷体"/>
                <w:color w:val="000000"/>
                <w:sz w:val="28"/>
                <w:szCs w:val="28"/>
                <w:lang w:bidi="ar"/>
              </w:rPr>
              <w:t>24</w:t>
            </w:r>
            <w:r>
              <w:rPr>
                <w:rFonts w:hint="eastAsia" w:ascii="楷体" w:hAnsi="楷体" w:eastAsia="楷体" w:cs="楷体"/>
                <w:color w:val="000000"/>
                <w:sz w:val="28"/>
                <w:szCs w:val="28"/>
                <w:lang w:bidi="ar"/>
              </w:rPr>
              <w:fldChar w:fldCharType="end"/>
            </w:r>
          </w:p>
        </w:tc>
        <w:tc>
          <w:tcPr>
            <w:tcW w:w="1747"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24</w:t>
            </w:r>
          </w:p>
        </w:tc>
      </w:tr>
    </w:tbl>
    <w:p>
      <w:pPr>
        <w:pStyle w:val="10"/>
        <w:spacing w:before="120"/>
        <w:ind w:left="50" w:leftChars="25" w:firstLine="560" w:firstLineChars="200"/>
        <w:rPr>
          <w:rFonts w:hint="eastAsia"/>
        </w:rPr>
      </w:pPr>
      <w:r>
        <w:rPr>
          <w:rFonts w:hint="eastAsia"/>
        </w:rPr>
        <w:t>1.资金管理</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经评价，本项目资金到位率100</w:t>
      </w:r>
      <w:r>
        <w:t>%</w:t>
      </w:r>
      <w:r>
        <w:rPr>
          <w:rFonts w:hint="eastAsia"/>
        </w:rPr>
        <w:t>，预算执行率</w:t>
      </w:r>
      <w:r>
        <w:rPr>
          <w:rFonts w:hint="eastAsia"/>
          <w:lang w:val="en-US" w:eastAsia="zh-CN"/>
        </w:rPr>
        <w:t>100</w:t>
      </w:r>
      <w:r>
        <w:rPr>
          <w:rFonts w:hint="eastAsia"/>
        </w:rPr>
        <w:t>%，资金使用严格遵守项目资金管理办法、实施细则或国家、自治区制定的有关办法规定，资金支出范围符合项目实施内容，加强了预算管理和使用监管，确保了专款专用，合理配置，规范使用，符合专项资金使用的原则和范围；资金支付手续齐全，审批流程规范，并支付及时；项目的重大开支已经过实施单位“三重一大”的程序审议评估；符合项目预算批复或合同规定的用途；未发现存在截留、挤占、挪用、虚列支出等违反资金管理办法的情况；会计核算真实、规范、会计报表真实反映收支结余等情况。在资金管理方面的得分为12分（满分12分）。</w:t>
      </w:r>
    </w:p>
    <w:p>
      <w:pPr>
        <w:pStyle w:val="10"/>
        <w:spacing w:before="120"/>
        <w:ind w:left="50" w:leftChars="25" w:firstLine="560" w:firstLineChars="200"/>
        <w:rPr>
          <w:rFonts w:hint="eastAsia"/>
        </w:rPr>
      </w:pPr>
      <w:r>
        <w:rPr>
          <w:rFonts w:hint="eastAsia"/>
        </w:rPr>
        <w:t>2.组织实施</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两个责任”已落实到位；组织实施总体上依托项目实施单位原本的组织机构和职责分工开展工作，基本能够满足项目顺利实施的需要；项目实施单位的管理制度健全，制定了较为完善的项目管理制度、财务管理制度，相关内控制度得到了有效执行，发挥了对项目的监督及管理作用。在组织实施管理方面的得分为12分（满分12分）。</w:t>
      </w:r>
    </w:p>
    <w:p>
      <w:pPr>
        <w:pStyle w:val="10"/>
        <w:spacing w:before="120"/>
        <w:ind w:left="50" w:leftChars="25" w:firstLine="560" w:firstLineChars="200"/>
        <w:rPr>
          <w:rFonts w:hint="eastAsia"/>
        </w:rPr>
      </w:pPr>
      <w:r>
        <w:rPr>
          <w:rFonts w:hint="eastAsia"/>
        </w:rPr>
        <w:t>（三）项目产出情况</w:t>
      </w:r>
    </w:p>
    <w:p>
      <w:pPr>
        <w:pStyle w:val="10"/>
        <w:spacing w:before="120"/>
        <w:ind w:left="50" w:leftChars="25" w:firstLine="560" w:firstLineChars="200"/>
        <w:rPr>
          <w:rFonts w:hint="eastAsia"/>
        </w:rPr>
      </w:pPr>
      <w:r>
        <w:rPr>
          <w:rFonts w:hint="eastAsia"/>
        </w:rPr>
        <w:t>本次绩效评价主要从产出数量、产出质量、产出成本和产出时效四个方面对实施内容的完整性、单项工程完工质量、投资成本和完成时效等方面进行评价分析。该部分分值为26分，评价得分26分，具体见下表：</w:t>
      </w:r>
    </w:p>
    <w:tbl>
      <w:tblPr>
        <w:tblStyle w:val="27"/>
        <w:tblW w:w="8623"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559"/>
        <w:gridCol w:w="1984"/>
        <w:gridCol w:w="1701"/>
        <w:gridCol w:w="188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90" w:type="dxa"/>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一级指标</w:t>
            </w:r>
          </w:p>
        </w:tc>
        <w:tc>
          <w:tcPr>
            <w:tcW w:w="1559" w:type="dxa"/>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二级指标</w:t>
            </w:r>
          </w:p>
        </w:tc>
        <w:tc>
          <w:tcPr>
            <w:tcW w:w="1984"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三级指标</w:t>
            </w:r>
          </w:p>
        </w:tc>
        <w:tc>
          <w:tcPr>
            <w:tcW w:w="1701"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分值</w:t>
            </w:r>
          </w:p>
        </w:tc>
        <w:tc>
          <w:tcPr>
            <w:tcW w:w="1889"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评价得分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restart"/>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w:t>
            </w:r>
          </w:p>
        </w:tc>
        <w:tc>
          <w:tcPr>
            <w:tcW w:w="1559" w:type="dxa"/>
            <w:tcBorders>
              <w:left w:val="single" w:color="auto" w:sz="2" w:space="0"/>
              <w:bottom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产出数量</w:t>
            </w:r>
          </w:p>
        </w:tc>
        <w:tc>
          <w:tcPr>
            <w:tcW w:w="1984" w:type="dxa"/>
            <w:tcBorders>
              <w:bottom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实际完工率</w:t>
            </w:r>
          </w:p>
        </w:tc>
        <w:tc>
          <w:tcPr>
            <w:tcW w:w="1701"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10</w:t>
            </w:r>
          </w:p>
        </w:tc>
        <w:tc>
          <w:tcPr>
            <w:tcW w:w="18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59" w:type="dxa"/>
            <w:tcBorders>
              <w:top w:val="single" w:color="auto" w:sz="2" w:space="0"/>
              <w:left w:val="single" w:color="auto" w:sz="2" w:space="0"/>
              <w:bottom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产出质量</w:t>
            </w:r>
          </w:p>
        </w:tc>
        <w:tc>
          <w:tcPr>
            <w:tcW w:w="1984" w:type="dxa"/>
            <w:tcBorders>
              <w:top w:val="single" w:color="auto" w:sz="2" w:space="0"/>
              <w:bottom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质量达标率</w:t>
            </w:r>
          </w:p>
        </w:tc>
        <w:tc>
          <w:tcPr>
            <w:tcW w:w="1701"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5</w:t>
            </w:r>
          </w:p>
        </w:tc>
        <w:tc>
          <w:tcPr>
            <w:tcW w:w="18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59" w:type="dxa"/>
            <w:tcBorders>
              <w:top w:val="single" w:color="auto" w:sz="2" w:space="0"/>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产出成本</w:t>
            </w:r>
          </w:p>
        </w:tc>
        <w:tc>
          <w:tcPr>
            <w:tcW w:w="1984" w:type="dxa"/>
            <w:tcBorders>
              <w:top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成本控制率</w:t>
            </w:r>
          </w:p>
        </w:tc>
        <w:tc>
          <w:tcPr>
            <w:tcW w:w="1701"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5</w:t>
            </w:r>
          </w:p>
        </w:tc>
        <w:tc>
          <w:tcPr>
            <w:tcW w:w="18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559" w:type="dxa"/>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产出时效</w:t>
            </w:r>
          </w:p>
        </w:tc>
        <w:tc>
          <w:tcPr>
            <w:tcW w:w="1984"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完成及时性</w:t>
            </w:r>
          </w:p>
        </w:tc>
        <w:tc>
          <w:tcPr>
            <w:tcW w:w="1701"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6</w:t>
            </w:r>
          </w:p>
        </w:tc>
        <w:tc>
          <w:tcPr>
            <w:tcW w:w="18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33" w:type="dxa"/>
            <w:gridSpan w:val="3"/>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合计</w:t>
            </w:r>
          </w:p>
        </w:tc>
        <w:tc>
          <w:tcPr>
            <w:tcW w:w="1701"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26</w:t>
            </w:r>
          </w:p>
        </w:tc>
        <w:tc>
          <w:tcPr>
            <w:tcW w:w="1889"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26</w:t>
            </w:r>
          </w:p>
        </w:tc>
      </w:tr>
    </w:tbl>
    <w:p>
      <w:pPr>
        <w:pStyle w:val="10"/>
        <w:spacing w:before="120"/>
        <w:ind w:left="50" w:leftChars="25" w:firstLine="560" w:firstLineChars="200"/>
        <w:rPr>
          <w:rFonts w:hint="eastAsia"/>
        </w:rPr>
      </w:pPr>
      <w:r>
        <w:rPr>
          <w:rFonts w:hint="eastAsia"/>
        </w:rPr>
        <w:t>1.产出数量</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经评价，本项目实施方案计划帮扶不低于274户，实际补助298户，实际完工率达到</w:t>
      </w:r>
      <w:r>
        <w:t>108.76%</w:t>
      </w:r>
      <w:r>
        <w:rPr>
          <w:rFonts w:hint="eastAsia"/>
        </w:rPr>
        <w:t>。在产出数量方面的得分为10分（满分10分）。</w:t>
      </w:r>
    </w:p>
    <w:p>
      <w:pPr>
        <w:pStyle w:val="10"/>
        <w:spacing w:before="120"/>
        <w:ind w:left="50" w:leftChars="25" w:firstLine="560" w:firstLineChars="200"/>
        <w:rPr>
          <w:rFonts w:hint="eastAsia"/>
        </w:rPr>
      </w:pPr>
      <w:r>
        <w:rPr>
          <w:rFonts w:hint="eastAsia"/>
        </w:rPr>
        <w:t>2.产出质量</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经评价，项目验收表显示，通过对帮扶标准、帮扶目标家庭等方面的验收，验收结论为合格。在产出质量方面的得分为5分（满分5分）。</w:t>
      </w:r>
    </w:p>
    <w:p>
      <w:pPr>
        <w:pStyle w:val="10"/>
        <w:spacing w:before="120"/>
        <w:ind w:left="50" w:leftChars="25" w:firstLine="560" w:firstLineChars="200"/>
        <w:rPr>
          <w:rFonts w:hint="eastAsia"/>
        </w:rPr>
      </w:pPr>
      <w:r>
        <w:rPr>
          <w:rFonts w:hint="eastAsia"/>
        </w:rPr>
        <w:t>3.产出成本</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经评价，本项目帮扶支出额为549,175.00元，计划实施帮扶</w:t>
      </w:r>
      <w:r>
        <w:rPr>
          <w:rFonts w:hint="eastAsia"/>
          <w:lang w:eastAsia="zh-CN"/>
        </w:rPr>
        <w:t>549,175.00</w:t>
      </w:r>
      <w:r>
        <w:rPr>
          <w:rFonts w:hint="eastAsia"/>
        </w:rPr>
        <w:t>元，</w:t>
      </w:r>
      <w:r>
        <w:rPr>
          <w:rFonts w:hint="eastAsia"/>
          <w:lang w:val="en-US" w:eastAsia="zh-CN"/>
        </w:rPr>
        <w:t>无资金欠付情况</w:t>
      </w:r>
      <w:r>
        <w:rPr>
          <w:rFonts w:hint="eastAsia"/>
        </w:rPr>
        <w:t>，在产出成本方面的得分为5分（满分5分）。</w:t>
      </w:r>
    </w:p>
    <w:p>
      <w:pPr>
        <w:pStyle w:val="10"/>
        <w:spacing w:before="120"/>
        <w:ind w:left="50" w:leftChars="25" w:firstLine="560" w:firstLineChars="200"/>
        <w:rPr>
          <w:rFonts w:hint="eastAsia"/>
        </w:rPr>
      </w:pPr>
      <w:r>
        <w:rPr>
          <w:rFonts w:hint="eastAsia"/>
        </w:rPr>
        <w:t>4.产出时效</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经评价，本项目计划工期为</w:t>
      </w:r>
      <w:r>
        <w:rPr>
          <w:rFonts w:hint="eastAsia"/>
          <w:lang w:val="en-US" w:eastAsia="zh-CN"/>
        </w:rPr>
        <w:t>10</w:t>
      </w:r>
      <w:r>
        <w:rPr>
          <w:rFonts w:hint="eastAsia"/>
        </w:rPr>
        <w:t>月，本项目实际于2025年5月至2025年9月完成，工程验收的实际完成时间未超过规定时限，在产出时效方面的得分为6分（满分6分）。</w:t>
      </w:r>
    </w:p>
    <w:p>
      <w:pPr>
        <w:pStyle w:val="10"/>
        <w:spacing w:before="120"/>
        <w:ind w:left="50" w:leftChars="25" w:firstLine="560" w:firstLineChars="200"/>
        <w:rPr>
          <w:rFonts w:hint="eastAsia"/>
        </w:rPr>
      </w:pPr>
      <w:r>
        <w:rPr>
          <w:rFonts w:hint="eastAsia"/>
        </w:rPr>
        <w:t>（四）项目效益情况</w:t>
      </w:r>
    </w:p>
    <w:p>
      <w:pPr>
        <w:pStyle w:val="10"/>
        <w:spacing w:before="120"/>
        <w:ind w:left="50" w:leftChars="25" w:firstLine="560" w:firstLineChars="200"/>
        <w:rPr>
          <w:rFonts w:hint="eastAsia"/>
        </w:rPr>
      </w:pPr>
      <w:r>
        <w:rPr>
          <w:rFonts w:hint="eastAsia"/>
        </w:rPr>
        <w:t>本次绩效评价主要从项目效益和项目效果两个方面对项目实施后的生活便利效益、安全保障效益、心理健康效益、社会效益以及残疾人家庭满意度等方面进行评价分析。该部分分值为35分，评价得分31.88分，具体见下表：</w:t>
      </w:r>
    </w:p>
    <w:tbl>
      <w:tblPr>
        <w:tblStyle w:val="27"/>
        <w:tblW w:w="8475" w:type="dxa"/>
        <w:tblInd w:w="7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0"/>
        <w:gridCol w:w="1417"/>
        <w:gridCol w:w="2693"/>
        <w:gridCol w:w="1400"/>
        <w:gridCol w:w="14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1490" w:type="dxa"/>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一级指标</w:t>
            </w:r>
          </w:p>
        </w:tc>
        <w:tc>
          <w:tcPr>
            <w:tcW w:w="1417" w:type="dxa"/>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二级指标</w:t>
            </w:r>
          </w:p>
        </w:tc>
        <w:tc>
          <w:tcPr>
            <w:tcW w:w="2693"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三级指标</w:t>
            </w:r>
          </w:p>
        </w:tc>
        <w:tc>
          <w:tcPr>
            <w:tcW w:w="1400"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分值</w:t>
            </w:r>
          </w:p>
        </w:tc>
        <w:tc>
          <w:tcPr>
            <w:tcW w:w="1475" w:type="dxa"/>
            <w:tcBorders>
              <w:tl2br w:val="nil"/>
              <w:tr2bl w:val="nil"/>
            </w:tcBorders>
            <w:vAlign w:val="center"/>
          </w:tcPr>
          <w:p>
            <w:pPr>
              <w:spacing w:before="120" w:after="120"/>
              <w:ind w:left="50" w:leftChars="25"/>
              <w:jc w:val="center"/>
              <w:textAlignment w:val="center"/>
              <w:rPr>
                <w:rFonts w:hint="eastAsia" w:ascii="楷体" w:hAnsi="楷体" w:eastAsia="楷体" w:cs="楷体"/>
                <w:b/>
                <w:bCs/>
                <w:color w:val="000000"/>
                <w:sz w:val="28"/>
                <w:szCs w:val="28"/>
                <w:lang w:bidi="ar"/>
              </w:rPr>
            </w:pPr>
            <w:r>
              <w:rPr>
                <w:rFonts w:hint="eastAsia" w:ascii="楷体" w:hAnsi="楷体" w:eastAsia="楷体" w:cs="楷体"/>
                <w:b/>
                <w:bCs/>
                <w:color w:val="000000"/>
                <w:sz w:val="28"/>
                <w:szCs w:val="28"/>
                <w:lang w:bidi="ar"/>
              </w:rPr>
              <w:t>评价得分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restart"/>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效益</w:t>
            </w:r>
          </w:p>
        </w:tc>
        <w:tc>
          <w:tcPr>
            <w:tcW w:w="1417" w:type="dxa"/>
            <w:vMerge w:val="restart"/>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项目效益</w:t>
            </w:r>
          </w:p>
        </w:tc>
        <w:tc>
          <w:tcPr>
            <w:tcW w:w="2693" w:type="dxa"/>
            <w:tcBorders>
              <w:bottom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经济效益</w:t>
            </w:r>
          </w:p>
        </w:tc>
        <w:tc>
          <w:tcPr>
            <w:tcW w:w="1400"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10</w:t>
            </w:r>
          </w:p>
        </w:tc>
        <w:tc>
          <w:tcPr>
            <w:tcW w:w="14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417" w:type="dxa"/>
            <w:vMerge w:val="continue"/>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2693" w:type="dxa"/>
            <w:tcBorders>
              <w:top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社会效益</w:t>
            </w:r>
          </w:p>
        </w:tc>
        <w:tc>
          <w:tcPr>
            <w:tcW w:w="1400"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15</w:t>
            </w:r>
          </w:p>
        </w:tc>
        <w:tc>
          <w:tcPr>
            <w:tcW w:w="14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90" w:type="dxa"/>
            <w:vMerge w:val="continue"/>
            <w:tcBorders>
              <w:righ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p>
        </w:tc>
        <w:tc>
          <w:tcPr>
            <w:tcW w:w="1417" w:type="dxa"/>
            <w:tcBorders>
              <w:left w:val="single" w:color="auto" w:sz="2" w:space="0"/>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项目效果</w:t>
            </w:r>
          </w:p>
        </w:tc>
        <w:tc>
          <w:tcPr>
            <w:tcW w:w="2693" w:type="dxa"/>
            <w:tcBorders>
              <w:tl2br w:val="nil"/>
              <w:tr2bl w:val="nil"/>
            </w:tcBorders>
            <w:vAlign w:val="center"/>
          </w:tcPr>
          <w:p>
            <w:pPr>
              <w:spacing w:before="120" w:after="120"/>
              <w:ind w:left="50" w:leftChars="25"/>
              <w:jc w:val="center"/>
              <w:textAlignment w:val="center"/>
              <w:rPr>
                <w:rFonts w:ascii="楷体" w:hAnsi="楷体" w:eastAsia="楷体" w:cs="楷体"/>
                <w:color w:val="000000"/>
                <w:sz w:val="28"/>
                <w:szCs w:val="28"/>
                <w:lang w:bidi="ar"/>
              </w:rPr>
            </w:pPr>
            <w:r>
              <w:rPr>
                <w:rFonts w:hint="eastAsia" w:ascii="楷体" w:hAnsi="楷体" w:eastAsia="楷体" w:cs="楷体"/>
                <w:color w:val="000000"/>
                <w:sz w:val="28"/>
                <w:szCs w:val="28"/>
                <w:lang w:bidi="ar"/>
              </w:rPr>
              <w:t>困难残疾人家庭</w:t>
            </w:r>
          </w:p>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满意度</w:t>
            </w:r>
          </w:p>
        </w:tc>
        <w:tc>
          <w:tcPr>
            <w:tcW w:w="1400"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10</w:t>
            </w:r>
          </w:p>
        </w:tc>
        <w:tc>
          <w:tcPr>
            <w:tcW w:w="14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9.28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00" w:type="dxa"/>
            <w:gridSpan w:val="3"/>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合计</w:t>
            </w:r>
          </w:p>
        </w:tc>
        <w:tc>
          <w:tcPr>
            <w:tcW w:w="1400"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t>35</w:t>
            </w:r>
          </w:p>
        </w:tc>
        <w:tc>
          <w:tcPr>
            <w:tcW w:w="1475" w:type="dxa"/>
            <w:tcBorders>
              <w:tl2br w:val="nil"/>
              <w:tr2bl w:val="nil"/>
            </w:tcBorders>
            <w:vAlign w:val="center"/>
          </w:tcPr>
          <w:p>
            <w:pPr>
              <w:spacing w:before="120" w:after="120"/>
              <w:ind w:left="50" w:leftChars="25"/>
              <w:jc w:val="center"/>
              <w:textAlignment w:val="center"/>
              <w:rPr>
                <w:rFonts w:hint="eastAsia" w:ascii="楷体" w:hAnsi="楷体" w:eastAsia="楷体" w:cs="楷体"/>
                <w:color w:val="000000"/>
                <w:sz w:val="28"/>
                <w:szCs w:val="28"/>
                <w:lang w:bidi="ar"/>
              </w:rPr>
            </w:pPr>
            <w:r>
              <w:rPr>
                <w:rFonts w:hint="eastAsia" w:ascii="楷体" w:hAnsi="楷体" w:eastAsia="楷体" w:cs="楷体"/>
                <w:color w:val="000000"/>
                <w:sz w:val="28"/>
                <w:szCs w:val="28"/>
                <w:lang w:bidi="ar"/>
              </w:rPr>
              <w:fldChar w:fldCharType="begin"/>
            </w:r>
            <w:r>
              <w:rPr>
                <w:rFonts w:hint="eastAsia" w:ascii="楷体" w:hAnsi="楷体" w:eastAsia="楷体" w:cs="楷体"/>
                <w:color w:val="000000"/>
                <w:sz w:val="28"/>
                <w:szCs w:val="28"/>
                <w:lang w:bidi="ar"/>
              </w:rPr>
              <w:instrText xml:space="preserve"> =SUM(ABOVE) </w:instrText>
            </w:r>
            <w:r>
              <w:rPr>
                <w:rFonts w:hint="eastAsia" w:ascii="楷体" w:hAnsi="楷体" w:eastAsia="楷体" w:cs="楷体"/>
                <w:color w:val="000000"/>
                <w:sz w:val="28"/>
                <w:szCs w:val="28"/>
                <w:lang w:bidi="ar"/>
              </w:rPr>
              <w:fldChar w:fldCharType="separate"/>
            </w:r>
            <w:r>
              <w:rPr>
                <w:rFonts w:hint="eastAsia" w:ascii="楷体" w:hAnsi="楷体" w:eastAsia="楷体" w:cs="楷体"/>
                <w:color w:val="000000"/>
                <w:sz w:val="28"/>
                <w:szCs w:val="28"/>
                <w:lang w:bidi="ar"/>
              </w:rPr>
              <w:t>31.88</w:t>
            </w:r>
            <w:r>
              <w:rPr>
                <w:rFonts w:hint="eastAsia" w:ascii="楷体" w:hAnsi="楷体" w:eastAsia="楷体" w:cs="楷体"/>
                <w:color w:val="000000"/>
                <w:sz w:val="28"/>
                <w:szCs w:val="28"/>
                <w:lang w:bidi="ar"/>
              </w:rPr>
              <w:fldChar w:fldCharType="end"/>
            </w:r>
          </w:p>
        </w:tc>
      </w:tr>
    </w:tbl>
    <w:p>
      <w:pPr>
        <w:pStyle w:val="10"/>
        <w:spacing w:before="120"/>
        <w:ind w:left="50" w:leftChars="25" w:firstLine="560" w:firstLineChars="200"/>
        <w:rPr>
          <w:rFonts w:hint="eastAsia"/>
        </w:rPr>
      </w:pPr>
      <w:r>
        <w:rPr>
          <w:rFonts w:hint="eastAsia"/>
        </w:rPr>
        <w:t>1.经济效益</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通过对实施效果分析，验收花名册已统计年新增人均纯收入金额119万元，超过目标值；结合已收回调查问卷的反馈结果，对困难残疾人家庭收入的整体提升和残疾人参与或依托产业增收成效明显增强。从以上三方面的反馈情况，得分为9.5分（满分10分）。</w:t>
      </w:r>
    </w:p>
    <w:p>
      <w:pPr>
        <w:pStyle w:val="10"/>
        <w:spacing w:before="120"/>
        <w:ind w:left="50" w:leftChars="25" w:firstLine="560" w:firstLineChars="200"/>
        <w:rPr>
          <w:rFonts w:hint="eastAsia"/>
        </w:rPr>
      </w:pPr>
      <w:r>
        <w:rPr>
          <w:rFonts w:hint="eastAsia"/>
        </w:rPr>
        <w:t>2.社会效益</w:t>
      </w:r>
    </w:p>
    <w:p>
      <w:pPr>
        <w:pStyle w:val="10"/>
        <w:spacing w:before="120"/>
        <w:ind w:left="50" w:leftChars="25" w:firstLine="560" w:firstLineChars="200"/>
        <w:rPr>
          <w:rFonts w:hint="eastAsia"/>
        </w:rPr>
      </w:pPr>
      <w:r>
        <w:rPr>
          <w:rFonts w:hint="eastAsia"/>
        </w:rPr>
        <w:t>评分依据详见后附表2《海原县困难残疾人家庭“一家一年一事”帮扶解困行动项目绩效评价指标评分表》。</w:t>
      </w:r>
    </w:p>
    <w:p>
      <w:pPr>
        <w:pStyle w:val="10"/>
        <w:spacing w:before="120"/>
        <w:ind w:left="50" w:leftChars="25" w:firstLine="560" w:firstLineChars="200"/>
        <w:rPr>
          <w:rFonts w:hint="eastAsia"/>
        </w:rPr>
      </w:pPr>
      <w:r>
        <w:rPr>
          <w:rFonts w:hint="eastAsia"/>
        </w:rPr>
        <w:t>通过对实施效果分析，结合已收回调查问卷的反馈结果，项目实施能够增强残疾人就业、创业、增收、社会融入的影响；残疾人内生动力进一步得到激发，自我发展能力不断提升，残疾人家庭脱贫基础更加稳固，生活质量得到有效提升；残疾人实现就业后，帮扶行动通过赋能，有效筑牢了防返贫的底线。充分就业和融入社会的残疾人，其幸福感和尊严感会更强，有助于减少社会矛盾和冲突，提高社会的稳定性，由</w:t>
      </w:r>
      <w:r>
        <w:rPr>
          <w:rFonts w:hint="eastAsia"/>
          <w:lang w:val="en-US" w:eastAsia="zh-CN"/>
        </w:rPr>
        <w:t>困</w:t>
      </w:r>
      <w:r>
        <w:rPr>
          <w:rFonts w:hint="eastAsia"/>
        </w:rPr>
        <w:t>难人残疾人家庭的反馈情况，在社会保障效益的得分为13.1分（满分15分）。</w:t>
      </w:r>
    </w:p>
    <w:p>
      <w:pPr>
        <w:pStyle w:val="10"/>
        <w:spacing w:before="120"/>
        <w:ind w:left="50" w:leftChars="25" w:firstLine="560" w:firstLineChars="200"/>
        <w:rPr>
          <w:rFonts w:hint="eastAsia"/>
        </w:rPr>
      </w:pPr>
      <w:r>
        <w:rPr>
          <w:rFonts w:hint="eastAsia"/>
        </w:rPr>
        <w:t>3.困难人残疾人家庭满意度调查</w:t>
      </w:r>
    </w:p>
    <w:p>
      <w:pPr>
        <w:pStyle w:val="10"/>
        <w:spacing w:before="120"/>
        <w:ind w:left="50" w:leftChars="25" w:firstLine="560" w:firstLineChars="200"/>
        <w:rPr>
          <w:rFonts w:hint="eastAsia"/>
        </w:rPr>
      </w:pPr>
      <w:r>
        <w:rPr>
          <w:rFonts w:hint="eastAsia"/>
        </w:rPr>
        <w:t>评分依据详见后附件3《困难残疾人家庭调查问卷的反馈情况》。</w:t>
      </w:r>
    </w:p>
    <w:p>
      <w:pPr>
        <w:pStyle w:val="10"/>
        <w:spacing w:before="120"/>
        <w:ind w:left="50" w:leftChars="25" w:firstLine="560" w:firstLineChars="200"/>
        <w:rPr>
          <w:rFonts w:hint="eastAsia"/>
          <w:highlight w:val="yellow"/>
        </w:rPr>
      </w:pPr>
      <w:r>
        <w:rPr>
          <w:rFonts w:hint="eastAsia"/>
        </w:rPr>
        <w:t>评价小组向困难残疾人家庭进行了问卷调查，截至评价日收到有效问卷回复50份。根据已收回调查问卷的反馈结果，困难残疾人家庭满意度为92.8</w:t>
      </w:r>
      <w:r>
        <w:t>%</w:t>
      </w:r>
      <w:r>
        <w:rPr>
          <w:rFonts w:hint="eastAsia"/>
        </w:rPr>
        <w:t>。指标分值10分，评价得分9.28分。</w:t>
      </w:r>
    </w:p>
    <w:p>
      <w:pPr>
        <w:pStyle w:val="10"/>
        <w:numPr>
          <w:ilvl w:val="0"/>
          <w:numId w:val="3"/>
        </w:numPr>
        <w:spacing w:before="120"/>
        <w:ind w:left="50" w:leftChars="25" w:firstLine="562" w:firstLineChars="200"/>
        <w:rPr>
          <w:rFonts w:hint="eastAsia"/>
          <w:b/>
          <w:bCs/>
        </w:rPr>
      </w:pPr>
      <w:r>
        <w:rPr>
          <w:rFonts w:hint="eastAsia"/>
          <w:b/>
          <w:bCs/>
        </w:rPr>
        <w:t>主要经验及做法、存在的问题及原因分析</w:t>
      </w:r>
    </w:p>
    <w:p>
      <w:pPr>
        <w:pStyle w:val="10"/>
        <w:spacing w:before="120"/>
        <w:ind w:left="50" w:leftChars="25" w:firstLine="515" w:firstLineChars="184"/>
        <w:rPr>
          <w:rFonts w:hint="eastAsia"/>
        </w:rPr>
      </w:pPr>
      <w:bookmarkStart w:id="1" w:name="_Hlk216105208"/>
      <w:r>
        <w:rPr>
          <w:rFonts w:hint="eastAsia"/>
        </w:rPr>
        <w:t>（一）主要经验及做法</w:t>
      </w:r>
    </w:p>
    <w:p>
      <w:pPr>
        <w:pStyle w:val="10"/>
        <w:spacing w:before="120"/>
        <w:ind w:leftChars="71" w:firstLine="560" w:firstLineChars="200"/>
        <w:rPr>
          <w:rFonts w:hint="eastAsia"/>
        </w:rPr>
      </w:pPr>
      <w:r>
        <w:rPr>
          <w:rFonts w:hint="eastAsia"/>
        </w:rPr>
        <w:t>1.精准识别与动态管理，筑牢帮扶基础</w:t>
      </w:r>
    </w:p>
    <w:p>
      <w:pPr>
        <w:pStyle w:val="10"/>
        <w:spacing w:before="120"/>
        <w:ind w:leftChars="71" w:firstLine="560" w:firstLineChars="200"/>
      </w:pPr>
      <w:r>
        <w:rPr>
          <w:rFonts w:hint="eastAsia"/>
        </w:rPr>
        <w:t>通过县、乡、村三级联动，依托基层组织和驻村工作队，对监测帮扶对象开展全面摸排，精准掌握残疾人家庭底数与具体需求。</w:t>
      </w:r>
      <w:r>
        <w:rPr>
          <w:rFonts w:ascii="Courier New" w:hAnsi="Courier New" w:cs="Courier New"/>
        </w:rPr>
        <w:t>‌‌</w:t>
      </w:r>
      <w:r>
        <w:rPr>
          <w:rFonts w:hint="eastAsia"/>
        </w:rPr>
        <w:t>在摸清底数的基础上，建立动态管理机制，对家庭收入稳定、生活困境得到改善的帮扶对象，按程序实施减退式退出，确保帮扶资源持续聚焦最急需群体。</w:t>
      </w:r>
      <w:r>
        <w:rPr>
          <w:rFonts w:ascii="Courier New" w:hAnsi="Courier New" w:cs="Courier New"/>
        </w:rPr>
        <w:t>‌‌</w:t>
      </w:r>
    </w:p>
    <w:p>
      <w:pPr>
        <w:pStyle w:val="10"/>
        <w:spacing w:before="120"/>
        <w:ind w:leftChars="71" w:firstLine="560" w:firstLineChars="200"/>
      </w:pPr>
      <w:r>
        <w:rPr>
          <w:rFonts w:hint="eastAsia"/>
        </w:rPr>
        <w:t>2.资源整合与机制协同，强化长效保障</w:t>
      </w:r>
    </w:p>
    <w:p>
      <w:pPr>
        <w:pStyle w:val="10"/>
        <w:spacing w:before="120"/>
        <w:ind w:leftChars="71" w:firstLine="560" w:firstLineChars="200"/>
        <w:rPr>
          <w:rFonts w:hint="eastAsia"/>
        </w:rPr>
      </w:pPr>
      <w:r>
        <w:rPr>
          <w:rFonts w:hint="eastAsia"/>
        </w:rPr>
        <w:t>整合农业农村、财政、残联等部门资源，形成联动机制，在资金保障方面，将帮扶项目优先纳入县级巩固拓展脱贫攻坚成果项目库，统筹惠残资金倾斜支持。</w:t>
      </w:r>
    </w:p>
    <w:p>
      <w:pPr>
        <w:pStyle w:val="10"/>
        <w:spacing w:before="120"/>
        <w:ind w:left="50" w:leftChars="25" w:firstLine="375" w:firstLineChars="134"/>
        <w:rPr>
          <w:rFonts w:hint="eastAsia"/>
        </w:rPr>
      </w:pPr>
      <w:r>
        <w:rPr>
          <w:rFonts w:hint="eastAsia"/>
        </w:rPr>
        <w:t>（二）存在的问题及建议</w:t>
      </w:r>
    </w:p>
    <w:p>
      <w:pPr>
        <w:pStyle w:val="10"/>
        <w:spacing w:before="120"/>
        <w:ind w:left="50" w:leftChars="25" w:firstLine="560" w:firstLineChars="200"/>
        <w:rPr>
          <w:rFonts w:hint="eastAsia"/>
        </w:rPr>
      </w:pPr>
      <w:r>
        <w:rPr>
          <w:rFonts w:hint="eastAsia"/>
        </w:rPr>
        <w:t>绩效目标量化程度不足。海原县残疾人联合会已按规定将年度绩效目标设定产出、效益和满意度三大类指标细化量化至具体数量、质量、时效、成本、经济效益、社会效益和服务对象满意度等二、三级指标，但部分设置的指标缺乏相应考核方法和标准。建议完善项目绩效指标的细化内容，为项目管理提供科学客观的考核目标，协助主管部门全过程把控项目开展情况，推进项目绩效的最终达成，从而实现预算绩效管理水平的提升。</w:t>
      </w:r>
      <w:bookmarkEnd w:id="1"/>
    </w:p>
    <w:p>
      <w:pPr>
        <w:spacing w:before="120" w:after="120" w:line="360" w:lineRule="auto"/>
        <w:ind w:left="50" w:leftChars="25" w:firstLine="562" w:firstLineChars="200"/>
        <w:jc w:val="both"/>
        <w:rPr>
          <w:rFonts w:hint="eastAsia" w:ascii="楷体" w:hAnsi="楷体" w:eastAsia="楷体" w:cs="楷体"/>
          <w:b/>
          <w:sz w:val="28"/>
          <w:szCs w:val="28"/>
        </w:rPr>
      </w:pPr>
      <w:r>
        <w:rPr>
          <w:rFonts w:hint="eastAsia" w:ascii="楷体" w:hAnsi="楷体" w:eastAsia="楷体" w:cs="楷体"/>
          <w:b/>
          <w:sz w:val="28"/>
          <w:szCs w:val="28"/>
        </w:rPr>
        <w:t>六、评价责任</w:t>
      </w:r>
    </w:p>
    <w:p>
      <w:pPr>
        <w:pStyle w:val="14"/>
        <w:adjustRightInd w:val="0"/>
        <w:snapToGrid w:val="0"/>
        <w:spacing w:before="120" w:after="120" w:line="360" w:lineRule="auto"/>
        <w:ind w:left="50" w:leftChars="25" w:firstLine="560" w:firstLineChars="200"/>
        <w:rPr>
          <w:rFonts w:hint="eastAsia" w:ascii="楷体" w:hAnsi="楷体" w:eastAsia="楷体" w:cs="楷体"/>
          <w:kern w:val="0"/>
          <w:sz w:val="28"/>
          <w:szCs w:val="28"/>
        </w:rPr>
      </w:pPr>
      <w:r>
        <w:rPr>
          <w:rFonts w:hint="eastAsia" w:ascii="楷体" w:hAnsi="楷体" w:eastAsia="楷体" w:cs="楷体"/>
          <w:kern w:val="0"/>
          <w:sz w:val="28"/>
          <w:szCs w:val="28"/>
        </w:rPr>
        <w:t>本评价结果依据评价客体提供的各项基础资料，运用规定的评价办法，评价工作组保证本次评价工作全过程的公正和公平，各项评价基础资料的真实性和完整性由评价客体负责。</w:t>
      </w:r>
    </w:p>
    <w:p>
      <w:pPr>
        <w:pStyle w:val="10"/>
        <w:spacing w:before="120"/>
        <w:ind w:left="50" w:leftChars="25" w:firstLine="560" w:firstLineChars="200"/>
        <w:rPr>
          <w:rFonts w:hint="eastAsia"/>
        </w:rPr>
      </w:pPr>
    </w:p>
    <w:sectPr>
      <w:headerReference r:id="rId6" w:type="first"/>
      <w:footerReference r:id="rId9" w:type="first"/>
      <w:headerReference r:id="rId4" w:type="default"/>
      <w:footerReference r:id="rId7" w:type="default"/>
      <w:headerReference r:id="rId5" w:type="even"/>
      <w:footerReference r:id="rId8" w:type="even"/>
      <w:pgSz w:w="11900" w:h="16832"/>
      <w:pgMar w:top="1474" w:right="1599" w:bottom="1474" w:left="1701" w:header="851" w:footer="851"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Arial Black">
    <w:altName w:val="Times New Roman"/>
    <w:panose1 w:val="020B0A04020102020204"/>
    <w:charset w:val="00"/>
    <w:family w:val="swiss"/>
    <w:pitch w:val="default"/>
    <w:sig w:usb0="00000000" w:usb1="00000000" w:usb2="00000000" w:usb3="00000000" w:csb0="6000009F" w:csb1="DFD70000"/>
  </w:font>
  <w:font w:name="方正仿宋_GB2312">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rPr>
        <w:rStyle w:val="30"/>
        <w:rFonts w:hint="eastAsia"/>
      </w:rPr>
    </w:pPr>
    <w:r>
      <w:fldChar w:fldCharType="begin"/>
    </w:r>
    <w:r>
      <w:rPr>
        <w:rStyle w:val="30"/>
      </w:rPr>
      <w:instrText xml:space="preserve">PAGE  </w:instrText>
    </w:r>
    <w:r>
      <w:fldChar w:fldCharType="end"/>
    </w:r>
  </w:p>
  <w:p>
    <w:r>
      <w:rPr>
        <w:rFonts w:hint="eastAsia"/>
        <w:color w:val="000000"/>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7330032"/>
    </w:sdtPr>
    <w:sdtContent>
      <w:p>
        <w:pPr>
          <w:pStyle w:val="18"/>
          <w:framePr w:wrap="auto" w:vAnchor="margin" w:hAnchor="text" w:xAlign="left" w:yAlign="inline"/>
          <w:spacing w:before="120" w:after="120"/>
          <w:rPr>
            <w:rFonts w:hint="eastAsia"/>
          </w:rPr>
        </w:pPr>
        <w:r>
          <w:fldChar w:fldCharType="begin"/>
        </w:r>
        <w:r>
          <w:instrText xml:space="preserve">PAGE   \* MERGEFORMAT</w:instrText>
        </w:r>
        <w:r>
          <w:fldChar w:fldCharType="separate"/>
        </w:r>
        <w:r>
          <w:rPr>
            <w:rFonts w:hint="eastAsia"/>
          </w:rPr>
          <w:t>21</w:t>
        </w:r>
        <w:r>
          <w:fldChar w:fldCharType="end"/>
        </w:r>
      </w:p>
    </w:sdtContent>
  </w:sdt>
  <w:p>
    <w:pPr>
      <w:spacing w:before="120" w:after="120"/>
      <w:rPr>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spacing w:before="120" w:after="120"/>
      <w:rPr>
        <w:rStyle w:val="30"/>
        <w:rFonts w:hint="eastAsia"/>
      </w:rPr>
    </w:pPr>
    <w:r>
      <w:fldChar w:fldCharType="begin"/>
    </w:r>
    <w:r>
      <w:rPr>
        <w:rStyle w:val="30"/>
      </w:rPr>
      <w:instrText xml:space="preserve">PAGE  </w:instrText>
    </w:r>
    <w:r>
      <w:fldChar w:fldCharType="end"/>
    </w:r>
  </w:p>
  <w:p>
    <w:pPr>
      <w:pStyle w:val="18"/>
      <w:framePr w:wrap="around"/>
      <w:spacing w:before="120" w:after="120"/>
      <w:rPr>
        <w:rFonts w:hint="eastAsia"/>
      </w:rPr>
    </w:pPr>
  </w:p>
  <w:p>
    <w:pPr>
      <w:spacing w:before="120" w:after="120"/>
      <w:ind w:firstLine="304"/>
    </w:pPr>
  </w:p>
  <w:p>
    <w:pPr>
      <w:spacing w:before="120" w:after="120"/>
      <w:ind w:firstLine="304"/>
    </w:pPr>
  </w:p>
  <w:p>
    <w:pPr>
      <w:spacing w:before="120" w:after="120"/>
      <w:ind w:firstLine="30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spacing w:before="120" w:after="120"/>
      <w:rPr>
        <w:rFonts w:hint="eastAsia"/>
      </w:rPr>
    </w:pPr>
  </w:p>
  <w:p>
    <w:pPr>
      <w:pStyle w:val="18"/>
      <w:framePr w:wrap="around"/>
      <w:spacing w:before="120" w:after="120"/>
      <w:rPr>
        <w:rFonts w:hint="eastAsia"/>
      </w:rPr>
    </w:pPr>
    <w:r>
      <w:t>~</w:t>
    </w:r>
    <w:r>
      <w:fldChar w:fldCharType="begin"/>
    </w:r>
    <w:r>
      <w:rPr>
        <w:rStyle w:val="30"/>
      </w:rPr>
      <w:instrText xml:space="preserve"> PAGE </w:instrText>
    </w:r>
    <w:r>
      <w:fldChar w:fldCharType="separate"/>
    </w:r>
    <w:r>
      <w:rPr>
        <w:rStyle w:val="30"/>
      </w:rPr>
      <w:t>1</w:t>
    </w:r>
    <w:r>
      <w:fldChar w:fldCharType="end"/>
    </w:r>
    <w:r>
      <w:t>~</w:t>
    </w:r>
    <w:r>
      <w:rPr>
        <w:rFonts w:hint="eastAsia"/>
      </w:rPr>
      <w:t xml:space="preserve">   </w:t>
    </w:r>
  </w:p>
  <w:p>
    <w:pPr>
      <w:spacing w:before="120" w:after="120"/>
      <w:ind w:firstLine="304"/>
    </w:pPr>
  </w:p>
  <w:p>
    <w:pPr>
      <w:spacing w:before="120" w:after="120"/>
      <w:ind w:firstLine="304"/>
    </w:pPr>
  </w:p>
  <w:p>
    <w:pPr>
      <w:spacing w:before="120" w:after="120"/>
      <w:ind w:firstLine="30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3"/>
      <w:pBdr>
        <w:bottom w:val="single" w:color="auto" w:sz="4" w:space="0"/>
      </w:pBdr>
      <w:spacing w:before="120" w:after="120" w:afterLines="50"/>
      <w:ind w:firstLine="810" w:firstLineChars="450"/>
      <w:jc w:val="right"/>
      <w:rPr>
        <w:rFonts w:ascii="方正仿宋_GB2312" w:eastAsia="方正仿宋_GB2312"/>
        <w:bCs/>
        <w:i/>
        <w:iCs/>
        <w:sz w:val="21"/>
        <w:szCs w:val="21"/>
      </w:rPr>
    </w:pPr>
    <w:r>
      <w:rPr>
        <w:rFonts w:hint="eastAsia" w:asciiTheme="minorEastAsia" w:hAnsiTheme="minorEastAsia" w:eastAsiaTheme="minorEastAsia" w:cstheme="minorEastAsia"/>
        <w:sz w:val="18"/>
        <w:szCs w:val="18"/>
      </w:rPr>
      <w:t xml:space="preserve">    海原县困难残疾人家庭“一家一年一事”帮扶解困行动项目绩效评价报告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spacing w:before="120" w:after="120"/>
      <w:ind w:firstLine="365"/>
    </w:pPr>
  </w:p>
  <w:p>
    <w:pPr>
      <w:spacing w:before="120" w:after="120"/>
      <w:ind w:firstLine="304"/>
    </w:pPr>
  </w:p>
  <w:p>
    <w:pPr>
      <w:spacing w:before="120" w:after="120"/>
      <w:ind w:firstLine="304"/>
    </w:pPr>
  </w:p>
  <w:p>
    <w:pPr>
      <w:spacing w:before="120" w:after="120"/>
      <w:ind w:firstLine="30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spacing w:before="120" w:after="120"/>
      <w:ind w:firstLine="365"/>
    </w:pPr>
  </w:p>
  <w:p>
    <w:pPr>
      <w:spacing w:before="120" w:after="120"/>
      <w:ind w:firstLine="304"/>
    </w:pPr>
  </w:p>
  <w:p>
    <w:pPr>
      <w:spacing w:before="120" w:after="120"/>
      <w:ind w:firstLine="304"/>
    </w:pPr>
  </w:p>
  <w:p>
    <w:pPr>
      <w:spacing w:before="120" w:after="120"/>
      <w:ind w:firstLine="30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70073E"/>
    <w:multiLevelType w:val="singleLevel"/>
    <w:tmpl w:val="AA70073E"/>
    <w:lvl w:ilvl="0" w:tentative="0">
      <w:start w:val="1"/>
      <w:numFmt w:val="decimal"/>
      <w:suff w:val="nothing"/>
      <w:lvlText w:val="%1．"/>
      <w:lvlJc w:val="left"/>
    </w:lvl>
  </w:abstractNum>
  <w:abstractNum w:abstractNumId="1">
    <w:nsid w:val="F9F50530"/>
    <w:multiLevelType w:val="singleLevel"/>
    <w:tmpl w:val="F9F50530"/>
    <w:lvl w:ilvl="0" w:tentative="0">
      <w:start w:val="4"/>
      <w:numFmt w:val="chineseCounting"/>
      <w:suff w:val="nothing"/>
      <w:lvlText w:val="%1、"/>
      <w:lvlJc w:val="left"/>
      <w:rPr>
        <w:rFonts w:hint="eastAsia"/>
      </w:rPr>
    </w:lvl>
  </w:abstractNum>
  <w:abstractNum w:abstractNumId="2">
    <w:nsid w:val="389743E9"/>
    <w:multiLevelType w:val="multilevel"/>
    <w:tmpl w:val="389743E9"/>
    <w:lvl w:ilvl="0" w:tentative="0">
      <w:start w:val="1"/>
      <w:numFmt w:val="decimal"/>
      <w:lvlText w:val="（%1）"/>
      <w:lvlJc w:val="left"/>
      <w:pPr>
        <w:tabs>
          <w:tab w:val="left" w:pos="1230"/>
        </w:tabs>
        <w:ind w:left="1230" w:hanging="720"/>
      </w:pPr>
      <w:rPr>
        <w:rFonts w:hint="eastAsia" w:hAnsi="宋体"/>
        <w:sz w:val="24"/>
      </w:rPr>
    </w:lvl>
    <w:lvl w:ilvl="1" w:tentative="0">
      <w:start w:val="1"/>
      <w:numFmt w:val="decimal"/>
      <w:lvlText w:val="（%2）"/>
      <w:lvlJc w:val="left"/>
      <w:pPr>
        <w:tabs>
          <w:tab w:val="left" w:pos="1650"/>
        </w:tabs>
        <w:ind w:left="1650" w:hanging="720"/>
      </w:pPr>
      <w:rPr>
        <w:rFonts w:hint="eastAsia"/>
      </w:rPr>
    </w:lvl>
    <w:lvl w:ilvl="2" w:tentative="0">
      <w:start w:val="7"/>
      <w:numFmt w:val="decimal"/>
      <w:lvlText w:val="%3、"/>
      <w:lvlJc w:val="left"/>
      <w:pPr>
        <w:tabs>
          <w:tab w:val="left" w:pos="2070"/>
        </w:tabs>
        <w:ind w:left="2070" w:hanging="720"/>
      </w:pPr>
      <w:rPr>
        <w:rFonts w:hint="eastAsia" w:ascii="Arial Black" w:hAnsi="Arial Black"/>
      </w:rPr>
    </w:lvl>
    <w:lvl w:ilvl="3" w:tentative="0">
      <w:start w:val="3"/>
      <w:numFmt w:val="upperLetter"/>
      <w:pStyle w:val="8"/>
      <w:lvlText w:val="%4."/>
      <w:lvlJc w:val="left"/>
      <w:pPr>
        <w:tabs>
          <w:tab w:val="left" w:pos="2250"/>
        </w:tabs>
        <w:ind w:left="2250" w:hanging="480"/>
      </w:pPr>
      <w:rPr>
        <w:rFonts w:hint="default"/>
      </w:rPr>
    </w:lvl>
    <w:lvl w:ilvl="4" w:tentative="0">
      <w:start w:val="3"/>
      <w:numFmt w:val="upperLetter"/>
      <w:pStyle w:val="5"/>
      <w:lvlText w:val="%5、"/>
      <w:lvlJc w:val="left"/>
      <w:pPr>
        <w:tabs>
          <w:tab w:val="left" w:pos="2550"/>
        </w:tabs>
        <w:ind w:left="2550" w:hanging="360"/>
      </w:pPr>
      <w:rPr>
        <w:rFonts w:hint="eastAsia"/>
      </w:rPr>
    </w:lvl>
    <w:lvl w:ilvl="5" w:tentative="0">
      <w:start w:val="6"/>
      <w:numFmt w:val="japaneseCounting"/>
      <w:lvlText w:val="%6、"/>
      <w:lvlJc w:val="left"/>
      <w:pPr>
        <w:tabs>
          <w:tab w:val="left" w:pos="3330"/>
        </w:tabs>
        <w:ind w:left="3330" w:hanging="720"/>
      </w:pPr>
      <w:rPr>
        <w:rFonts w:hint="eastAsia" w:ascii="宋体" w:hAnsi="Arial Black"/>
        <w:sz w:val="28"/>
      </w:rPr>
    </w:lvl>
    <w:lvl w:ilvl="6" w:tentative="0">
      <w:start w:val="1"/>
      <w:numFmt w:val="decimal"/>
      <w:lvlText w:val="%7."/>
      <w:lvlJc w:val="left"/>
      <w:pPr>
        <w:tabs>
          <w:tab w:val="left" w:pos="3450"/>
        </w:tabs>
        <w:ind w:left="3450" w:hanging="420"/>
      </w:pPr>
    </w:lvl>
    <w:lvl w:ilvl="7" w:tentative="0">
      <w:start w:val="1"/>
      <w:numFmt w:val="lowerLetter"/>
      <w:lvlText w:val="%8)"/>
      <w:lvlJc w:val="left"/>
      <w:pPr>
        <w:tabs>
          <w:tab w:val="left" w:pos="3870"/>
        </w:tabs>
        <w:ind w:left="3870" w:hanging="420"/>
      </w:pPr>
    </w:lvl>
    <w:lvl w:ilvl="8" w:tentative="0">
      <w:start w:val="1"/>
      <w:numFmt w:val="lowerRoman"/>
      <w:lvlText w:val="%9."/>
      <w:lvlJc w:val="right"/>
      <w:pPr>
        <w:tabs>
          <w:tab w:val="left" w:pos="4290"/>
        </w:tabs>
        <w:ind w:left="4290" w:hanging="420"/>
      </w:pPr>
    </w:lvl>
  </w:abstractNum>
  <w:abstractNum w:abstractNumId="3">
    <w:nsid w:val="7E4D372D"/>
    <w:multiLevelType w:val="singleLevel"/>
    <w:tmpl w:val="7E4D372D"/>
    <w:lvl w:ilvl="0" w:tentative="0">
      <w:start w:val="1"/>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0"/>
  <w:doNotHyphenateCaps/>
  <w:drawingGridHorizontalSpacing w:val="100"/>
  <w:drawingGridVerticalSpacing w:val="156"/>
  <w:doNotShadeFormData w:val="1"/>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E2NGE1YWQ5OTQ4YmM2YjRhNmNmMzJjYzlmOTk1YzAifQ=="/>
  </w:docVars>
  <w:rsids>
    <w:rsidRoot w:val="00172A27"/>
    <w:rsid w:val="00007696"/>
    <w:rsid w:val="0001179B"/>
    <w:rsid w:val="00011E62"/>
    <w:rsid w:val="00014326"/>
    <w:rsid w:val="00023A72"/>
    <w:rsid w:val="00025FB1"/>
    <w:rsid w:val="00036042"/>
    <w:rsid w:val="0008055C"/>
    <w:rsid w:val="00086C11"/>
    <w:rsid w:val="000969AD"/>
    <w:rsid w:val="000B569A"/>
    <w:rsid w:val="000C3DA7"/>
    <w:rsid w:val="000C5BF4"/>
    <w:rsid w:val="000D4CD3"/>
    <w:rsid w:val="000E5491"/>
    <w:rsid w:val="000F2D86"/>
    <w:rsid w:val="0011147F"/>
    <w:rsid w:val="00133563"/>
    <w:rsid w:val="00145413"/>
    <w:rsid w:val="001533D7"/>
    <w:rsid w:val="00172A27"/>
    <w:rsid w:val="001C687D"/>
    <w:rsid w:val="001D05B9"/>
    <w:rsid w:val="001E12E1"/>
    <w:rsid w:val="001E33CC"/>
    <w:rsid w:val="002325B0"/>
    <w:rsid w:val="00246A4D"/>
    <w:rsid w:val="0025643B"/>
    <w:rsid w:val="00263D1D"/>
    <w:rsid w:val="00266B6C"/>
    <w:rsid w:val="00275A73"/>
    <w:rsid w:val="00280BB3"/>
    <w:rsid w:val="002A0935"/>
    <w:rsid w:val="002D0ED4"/>
    <w:rsid w:val="002D5DE7"/>
    <w:rsid w:val="00302D8E"/>
    <w:rsid w:val="00322F2F"/>
    <w:rsid w:val="003448E8"/>
    <w:rsid w:val="00380587"/>
    <w:rsid w:val="003965B8"/>
    <w:rsid w:val="003C0C5F"/>
    <w:rsid w:val="003E7B91"/>
    <w:rsid w:val="00402C25"/>
    <w:rsid w:val="004122FD"/>
    <w:rsid w:val="00416E96"/>
    <w:rsid w:val="00432C6D"/>
    <w:rsid w:val="00436EE7"/>
    <w:rsid w:val="00440532"/>
    <w:rsid w:val="00442030"/>
    <w:rsid w:val="0046071E"/>
    <w:rsid w:val="00473A99"/>
    <w:rsid w:val="00481D73"/>
    <w:rsid w:val="004B17F9"/>
    <w:rsid w:val="004B634F"/>
    <w:rsid w:val="004F00E0"/>
    <w:rsid w:val="004F6A95"/>
    <w:rsid w:val="00500427"/>
    <w:rsid w:val="00501355"/>
    <w:rsid w:val="00513BFD"/>
    <w:rsid w:val="00573A8C"/>
    <w:rsid w:val="005778F6"/>
    <w:rsid w:val="00582FBD"/>
    <w:rsid w:val="00585187"/>
    <w:rsid w:val="005A16E6"/>
    <w:rsid w:val="005B6FEF"/>
    <w:rsid w:val="005B745E"/>
    <w:rsid w:val="005C7A9E"/>
    <w:rsid w:val="005E163B"/>
    <w:rsid w:val="006077FF"/>
    <w:rsid w:val="00612345"/>
    <w:rsid w:val="0063296C"/>
    <w:rsid w:val="00635F00"/>
    <w:rsid w:val="0064027F"/>
    <w:rsid w:val="00645BB8"/>
    <w:rsid w:val="00672F65"/>
    <w:rsid w:val="00691690"/>
    <w:rsid w:val="006A5AE6"/>
    <w:rsid w:val="006A603E"/>
    <w:rsid w:val="006E1AA1"/>
    <w:rsid w:val="00702588"/>
    <w:rsid w:val="00722A9F"/>
    <w:rsid w:val="00730AB8"/>
    <w:rsid w:val="00745582"/>
    <w:rsid w:val="00747F9C"/>
    <w:rsid w:val="00752555"/>
    <w:rsid w:val="00765091"/>
    <w:rsid w:val="0077606B"/>
    <w:rsid w:val="007763D2"/>
    <w:rsid w:val="00783275"/>
    <w:rsid w:val="007959FB"/>
    <w:rsid w:val="007A0649"/>
    <w:rsid w:val="007C359D"/>
    <w:rsid w:val="007D49FD"/>
    <w:rsid w:val="007D6930"/>
    <w:rsid w:val="007F0A1D"/>
    <w:rsid w:val="008259C6"/>
    <w:rsid w:val="00854F03"/>
    <w:rsid w:val="008753B2"/>
    <w:rsid w:val="008A2520"/>
    <w:rsid w:val="008B0131"/>
    <w:rsid w:val="008B20EC"/>
    <w:rsid w:val="008D0B36"/>
    <w:rsid w:val="008E086E"/>
    <w:rsid w:val="008F3334"/>
    <w:rsid w:val="008F470C"/>
    <w:rsid w:val="009004B8"/>
    <w:rsid w:val="009224FE"/>
    <w:rsid w:val="00956550"/>
    <w:rsid w:val="009702EA"/>
    <w:rsid w:val="00970A2E"/>
    <w:rsid w:val="009938B3"/>
    <w:rsid w:val="00997D30"/>
    <w:rsid w:val="009B7945"/>
    <w:rsid w:val="009D3BA2"/>
    <w:rsid w:val="009D7613"/>
    <w:rsid w:val="00A028F8"/>
    <w:rsid w:val="00A13BB0"/>
    <w:rsid w:val="00A25095"/>
    <w:rsid w:val="00A31B49"/>
    <w:rsid w:val="00A770A5"/>
    <w:rsid w:val="00A95BC5"/>
    <w:rsid w:val="00AA5856"/>
    <w:rsid w:val="00AA5C12"/>
    <w:rsid w:val="00AE651A"/>
    <w:rsid w:val="00AE75AC"/>
    <w:rsid w:val="00B15105"/>
    <w:rsid w:val="00B15276"/>
    <w:rsid w:val="00B17969"/>
    <w:rsid w:val="00B2494E"/>
    <w:rsid w:val="00B4794C"/>
    <w:rsid w:val="00B54729"/>
    <w:rsid w:val="00B70DA3"/>
    <w:rsid w:val="00B73175"/>
    <w:rsid w:val="00B7382A"/>
    <w:rsid w:val="00B855E4"/>
    <w:rsid w:val="00BB37EC"/>
    <w:rsid w:val="00BB753D"/>
    <w:rsid w:val="00BD52EC"/>
    <w:rsid w:val="00BF6574"/>
    <w:rsid w:val="00BF706B"/>
    <w:rsid w:val="00C12B09"/>
    <w:rsid w:val="00C62000"/>
    <w:rsid w:val="00C82088"/>
    <w:rsid w:val="00C826A4"/>
    <w:rsid w:val="00CB459C"/>
    <w:rsid w:val="00CE76B5"/>
    <w:rsid w:val="00CF2CED"/>
    <w:rsid w:val="00CF4874"/>
    <w:rsid w:val="00CF4E8E"/>
    <w:rsid w:val="00D04BCC"/>
    <w:rsid w:val="00D20115"/>
    <w:rsid w:val="00D31746"/>
    <w:rsid w:val="00D41676"/>
    <w:rsid w:val="00D52E5A"/>
    <w:rsid w:val="00D64989"/>
    <w:rsid w:val="00D70822"/>
    <w:rsid w:val="00D76250"/>
    <w:rsid w:val="00D81598"/>
    <w:rsid w:val="00DA0E19"/>
    <w:rsid w:val="00DC0559"/>
    <w:rsid w:val="00DD1D7E"/>
    <w:rsid w:val="00DE08D9"/>
    <w:rsid w:val="00E24A2E"/>
    <w:rsid w:val="00E452B7"/>
    <w:rsid w:val="00E56611"/>
    <w:rsid w:val="00E67A31"/>
    <w:rsid w:val="00E67B58"/>
    <w:rsid w:val="00E865C2"/>
    <w:rsid w:val="00E952B3"/>
    <w:rsid w:val="00EC37C9"/>
    <w:rsid w:val="00EC3D46"/>
    <w:rsid w:val="00ED1EDB"/>
    <w:rsid w:val="00ED4FD8"/>
    <w:rsid w:val="00EF233E"/>
    <w:rsid w:val="00F13E1A"/>
    <w:rsid w:val="00F30A1F"/>
    <w:rsid w:val="00F364E0"/>
    <w:rsid w:val="00F4039F"/>
    <w:rsid w:val="00F46BFE"/>
    <w:rsid w:val="00F64B78"/>
    <w:rsid w:val="00F65884"/>
    <w:rsid w:val="00F66F31"/>
    <w:rsid w:val="00F701C5"/>
    <w:rsid w:val="00F71F91"/>
    <w:rsid w:val="00F80F0D"/>
    <w:rsid w:val="00FB1DBE"/>
    <w:rsid w:val="00FB3C63"/>
    <w:rsid w:val="00FC0345"/>
    <w:rsid w:val="00FF0084"/>
    <w:rsid w:val="010E14F5"/>
    <w:rsid w:val="0156177E"/>
    <w:rsid w:val="016707B4"/>
    <w:rsid w:val="01671BDD"/>
    <w:rsid w:val="01814321"/>
    <w:rsid w:val="01967485"/>
    <w:rsid w:val="01E01D50"/>
    <w:rsid w:val="01F23222"/>
    <w:rsid w:val="02072A78"/>
    <w:rsid w:val="02447828"/>
    <w:rsid w:val="025008C3"/>
    <w:rsid w:val="025C7268"/>
    <w:rsid w:val="02FF7BF3"/>
    <w:rsid w:val="031B4B25"/>
    <w:rsid w:val="032B6CA5"/>
    <w:rsid w:val="0334789D"/>
    <w:rsid w:val="033719EF"/>
    <w:rsid w:val="03594DB5"/>
    <w:rsid w:val="039D18E6"/>
    <w:rsid w:val="03C50E3C"/>
    <w:rsid w:val="03C74BB5"/>
    <w:rsid w:val="03F438B9"/>
    <w:rsid w:val="04041965"/>
    <w:rsid w:val="04221DEB"/>
    <w:rsid w:val="042B6B90"/>
    <w:rsid w:val="04362350"/>
    <w:rsid w:val="04396BEE"/>
    <w:rsid w:val="04A24CDA"/>
    <w:rsid w:val="04C42EA2"/>
    <w:rsid w:val="04CE14D0"/>
    <w:rsid w:val="04D94B9F"/>
    <w:rsid w:val="04DA65D1"/>
    <w:rsid w:val="04F574FF"/>
    <w:rsid w:val="057E2F8C"/>
    <w:rsid w:val="058F34B0"/>
    <w:rsid w:val="05D3012A"/>
    <w:rsid w:val="05F41565"/>
    <w:rsid w:val="05FB0B46"/>
    <w:rsid w:val="062A31D9"/>
    <w:rsid w:val="062E4A77"/>
    <w:rsid w:val="06394DDC"/>
    <w:rsid w:val="0664327F"/>
    <w:rsid w:val="06764670"/>
    <w:rsid w:val="067B3A34"/>
    <w:rsid w:val="068622BD"/>
    <w:rsid w:val="06B17456"/>
    <w:rsid w:val="06C929F2"/>
    <w:rsid w:val="06D81328"/>
    <w:rsid w:val="070A1B02"/>
    <w:rsid w:val="07351E35"/>
    <w:rsid w:val="074D717F"/>
    <w:rsid w:val="076247BA"/>
    <w:rsid w:val="077330F3"/>
    <w:rsid w:val="0773713D"/>
    <w:rsid w:val="07D72EEC"/>
    <w:rsid w:val="08130AF1"/>
    <w:rsid w:val="082124C4"/>
    <w:rsid w:val="082D0D5E"/>
    <w:rsid w:val="083735DF"/>
    <w:rsid w:val="08470072"/>
    <w:rsid w:val="084E7652"/>
    <w:rsid w:val="085A197A"/>
    <w:rsid w:val="085E3DDB"/>
    <w:rsid w:val="08626C5A"/>
    <w:rsid w:val="08A13C26"/>
    <w:rsid w:val="08B1373D"/>
    <w:rsid w:val="08B576D2"/>
    <w:rsid w:val="08C96CD9"/>
    <w:rsid w:val="09012917"/>
    <w:rsid w:val="0926412B"/>
    <w:rsid w:val="093305F6"/>
    <w:rsid w:val="093C74AB"/>
    <w:rsid w:val="095A3DD5"/>
    <w:rsid w:val="096749BC"/>
    <w:rsid w:val="09B94F9F"/>
    <w:rsid w:val="09EA5159"/>
    <w:rsid w:val="0A8A2498"/>
    <w:rsid w:val="0ABB4D47"/>
    <w:rsid w:val="0AD007F3"/>
    <w:rsid w:val="0AD100C7"/>
    <w:rsid w:val="0B316DB7"/>
    <w:rsid w:val="0B547314"/>
    <w:rsid w:val="0B632B58"/>
    <w:rsid w:val="0B725406"/>
    <w:rsid w:val="0B9E269F"/>
    <w:rsid w:val="0BC8771C"/>
    <w:rsid w:val="0BDB744F"/>
    <w:rsid w:val="0C48085D"/>
    <w:rsid w:val="0C6C62F9"/>
    <w:rsid w:val="0C6F381A"/>
    <w:rsid w:val="0CA37841"/>
    <w:rsid w:val="0CA830A9"/>
    <w:rsid w:val="0CAD06C0"/>
    <w:rsid w:val="0CE045F1"/>
    <w:rsid w:val="0D1129FD"/>
    <w:rsid w:val="0D154AE6"/>
    <w:rsid w:val="0D156991"/>
    <w:rsid w:val="0D3606B5"/>
    <w:rsid w:val="0D8458C4"/>
    <w:rsid w:val="0D907DC5"/>
    <w:rsid w:val="0DAB10A3"/>
    <w:rsid w:val="0DBF4B4E"/>
    <w:rsid w:val="0DCF0193"/>
    <w:rsid w:val="0DDB2AE0"/>
    <w:rsid w:val="0E074C74"/>
    <w:rsid w:val="0E1E7AC7"/>
    <w:rsid w:val="0E415563"/>
    <w:rsid w:val="0EA0228A"/>
    <w:rsid w:val="0EA578A0"/>
    <w:rsid w:val="0EEE56EB"/>
    <w:rsid w:val="0EFF05C2"/>
    <w:rsid w:val="0F056591"/>
    <w:rsid w:val="0F2B249C"/>
    <w:rsid w:val="0F5A4B2F"/>
    <w:rsid w:val="0F6634D4"/>
    <w:rsid w:val="0F735BF1"/>
    <w:rsid w:val="0F895414"/>
    <w:rsid w:val="0FAB7138"/>
    <w:rsid w:val="0FCE72CB"/>
    <w:rsid w:val="0FF07241"/>
    <w:rsid w:val="0FFD54BA"/>
    <w:rsid w:val="10150E46"/>
    <w:rsid w:val="103709CC"/>
    <w:rsid w:val="104322B8"/>
    <w:rsid w:val="10521CAA"/>
    <w:rsid w:val="10993435"/>
    <w:rsid w:val="109C4CD3"/>
    <w:rsid w:val="10B63FE7"/>
    <w:rsid w:val="10D75D0B"/>
    <w:rsid w:val="110D3EBD"/>
    <w:rsid w:val="111807FE"/>
    <w:rsid w:val="114B314A"/>
    <w:rsid w:val="116C28F7"/>
    <w:rsid w:val="117619C8"/>
    <w:rsid w:val="117A4938"/>
    <w:rsid w:val="11D46C43"/>
    <w:rsid w:val="11DD1A47"/>
    <w:rsid w:val="11E93F48"/>
    <w:rsid w:val="11EE155E"/>
    <w:rsid w:val="11F748B7"/>
    <w:rsid w:val="11FE6674"/>
    <w:rsid w:val="122E5DFF"/>
    <w:rsid w:val="12486EC1"/>
    <w:rsid w:val="125C6E10"/>
    <w:rsid w:val="12786986"/>
    <w:rsid w:val="12A76BF1"/>
    <w:rsid w:val="12F40DF6"/>
    <w:rsid w:val="12F97B47"/>
    <w:rsid w:val="12FD6879"/>
    <w:rsid w:val="12FE7EC7"/>
    <w:rsid w:val="13021765"/>
    <w:rsid w:val="130D1EB8"/>
    <w:rsid w:val="13AF2F6F"/>
    <w:rsid w:val="13E175CD"/>
    <w:rsid w:val="13F37300"/>
    <w:rsid w:val="143F2545"/>
    <w:rsid w:val="14591277"/>
    <w:rsid w:val="147E306D"/>
    <w:rsid w:val="14A8633C"/>
    <w:rsid w:val="14AE46DC"/>
    <w:rsid w:val="14CF38C9"/>
    <w:rsid w:val="14E8498B"/>
    <w:rsid w:val="15051099"/>
    <w:rsid w:val="1528122B"/>
    <w:rsid w:val="15455939"/>
    <w:rsid w:val="157D1577"/>
    <w:rsid w:val="158A3C94"/>
    <w:rsid w:val="158E0A09"/>
    <w:rsid w:val="158F12AA"/>
    <w:rsid w:val="1598015F"/>
    <w:rsid w:val="15A562CA"/>
    <w:rsid w:val="15A60CE9"/>
    <w:rsid w:val="15AC3C0A"/>
    <w:rsid w:val="15C40F54"/>
    <w:rsid w:val="15C90318"/>
    <w:rsid w:val="15CC605B"/>
    <w:rsid w:val="16210154"/>
    <w:rsid w:val="163360DA"/>
    <w:rsid w:val="16481B85"/>
    <w:rsid w:val="16814199"/>
    <w:rsid w:val="168E1A55"/>
    <w:rsid w:val="16AB1E30"/>
    <w:rsid w:val="16BD48C4"/>
    <w:rsid w:val="16D363E1"/>
    <w:rsid w:val="170535D2"/>
    <w:rsid w:val="17127BA2"/>
    <w:rsid w:val="171C6B6E"/>
    <w:rsid w:val="1722473B"/>
    <w:rsid w:val="174560C4"/>
    <w:rsid w:val="17852965"/>
    <w:rsid w:val="17C74D2B"/>
    <w:rsid w:val="17D12FCB"/>
    <w:rsid w:val="18340BD5"/>
    <w:rsid w:val="18700793"/>
    <w:rsid w:val="18720E41"/>
    <w:rsid w:val="18754787"/>
    <w:rsid w:val="18A06CB2"/>
    <w:rsid w:val="18DC4807"/>
    <w:rsid w:val="18DF60A5"/>
    <w:rsid w:val="18DF7E53"/>
    <w:rsid w:val="18E831AB"/>
    <w:rsid w:val="18FC6C57"/>
    <w:rsid w:val="19137AFC"/>
    <w:rsid w:val="193E101D"/>
    <w:rsid w:val="19520625"/>
    <w:rsid w:val="195E6FCA"/>
    <w:rsid w:val="1998697F"/>
    <w:rsid w:val="199C3519"/>
    <w:rsid w:val="19B1359D"/>
    <w:rsid w:val="19C220EE"/>
    <w:rsid w:val="19C62475"/>
    <w:rsid w:val="19DB2D10"/>
    <w:rsid w:val="1A037B71"/>
    <w:rsid w:val="1A165AF6"/>
    <w:rsid w:val="1A255D39"/>
    <w:rsid w:val="1A5328A6"/>
    <w:rsid w:val="1A6349DC"/>
    <w:rsid w:val="1A69031C"/>
    <w:rsid w:val="1A7016AA"/>
    <w:rsid w:val="1A862C7C"/>
    <w:rsid w:val="1A911621"/>
    <w:rsid w:val="1AB175CD"/>
    <w:rsid w:val="1AB570BD"/>
    <w:rsid w:val="1ACB68E1"/>
    <w:rsid w:val="1AD932F6"/>
    <w:rsid w:val="1B124510"/>
    <w:rsid w:val="1B170A11"/>
    <w:rsid w:val="1B177D78"/>
    <w:rsid w:val="1B1D6651"/>
    <w:rsid w:val="1B3F2E2B"/>
    <w:rsid w:val="1B51567B"/>
    <w:rsid w:val="1B5763C6"/>
    <w:rsid w:val="1B7E3953"/>
    <w:rsid w:val="1B944F25"/>
    <w:rsid w:val="1BBD3200"/>
    <w:rsid w:val="1BCC0B62"/>
    <w:rsid w:val="1BFC2ACA"/>
    <w:rsid w:val="1BFD6F6E"/>
    <w:rsid w:val="1C157783"/>
    <w:rsid w:val="1C27223D"/>
    <w:rsid w:val="1C2F2E9F"/>
    <w:rsid w:val="1C461F06"/>
    <w:rsid w:val="1C626DD1"/>
    <w:rsid w:val="1C6C7C4F"/>
    <w:rsid w:val="1CCD66BB"/>
    <w:rsid w:val="1CCE090A"/>
    <w:rsid w:val="1CE26164"/>
    <w:rsid w:val="1CE4012E"/>
    <w:rsid w:val="1CF6380C"/>
    <w:rsid w:val="1D061E52"/>
    <w:rsid w:val="1D4604A0"/>
    <w:rsid w:val="1D532BBD"/>
    <w:rsid w:val="1E002D45"/>
    <w:rsid w:val="1E0D7210"/>
    <w:rsid w:val="1E51534F"/>
    <w:rsid w:val="1E62755C"/>
    <w:rsid w:val="1E7948A6"/>
    <w:rsid w:val="1E8B3659"/>
    <w:rsid w:val="1E9F430C"/>
    <w:rsid w:val="1EAF02C7"/>
    <w:rsid w:val="1EC27FFB"/>
    <w:rsid w:val="1EE02F51"/>
    <w:rsid w:val="1EF53F2C"/>
    <w:rsid w:val="1EFB350D"/>
    <w:rsid w:val="1F3C60B6"/>
    <w:rsid w:val="1FBE4F4A"/>
    <w:rsid w:val="1FEF173F"/>
    <w:rsid w:val="20085EE1"/>
    <w:rsid w:val="203C6187"/>
    <w:rsid w:val="206770AC"/>
    <w:rsid w:val="20791D4A"/>
    <w:rsid w:val="2091237A"/>
    <w:rsid w:val="20C91B14"/>
    <w:rsid w:val="20E4609B"/>
    <w:rsid w:val="20F326ED"/>
    <w:rsid w:val="21093CBF"/>
    <w:rsid w:val="215D04AF"/>
    <w:rsid w:val="2193284A"/>
    <w:rsid w:val="21EC5E61"/>
    <w:rsid w:val="21ED538F"/>
    <w:rsid w:val="220E0D4F"/>
    <w:rsid w:val="22350AE4"/>
    <w:rsid w:val="22372AAE"/>
    <w:rsid w:val="2241084A"/>
    <w:rsid w:val="22557968"/>
    <w:rsid w:val="22635651"/>
    <w:rsid w:val="22714212"/>
    <w:rsid w:val="227710FC"/>
    <w:rsid w:val="227B405E"/>
    <w:rsid w:val="227E06DD"/>
    <w:rsid w:val="22BB43D7"/>
    <w:rsid w:val="231A6657"/>
    <w:rsid w:val="23461591"/>
    <w:rsid w:val="237B6172"/>
    <w:rsid w:val="239006C7"/>
    <w:rsid w:val="23B85E4F"/>
    <w:rsid w:val="23C640E9"/>
    <w:rsid w:val="23D06D16"/>
    <w:rsid w:val="242D4B26"/>
    <w:rsid w:val="24736F3C"/>
    <w:rsid w:val="24910CE6"/>
    <w:rsid w:val="24B91EA0"/>
    <w:rsid w:val="24C20D54"/>
    <w:rsid w:val="24EA02AB"/>
    <w:rsid w:val="25426A45"/>
    <w:rsid w:val="25494FD2"/>
    <w:rsid w:val="25545725"/>
    <w:rsid w:val="257B082B"/>
    <w:rsid w:val="257D111F"/>
    <w:rsid w:val="258A47AC"/>
    <w:rsid w:val="258B7398"/>
    <w:rsid w:val="259A582D"/>
    <w:rsid w:val="25C7239A"/>
    <w:rsid w:val="25D72036"/>
    <w:rsid w:val="25E65085"/>
    <w:rsid w:val="25F969F8"/>
    <w:rsid w:val="264E03C6"/>
    <w:rsid w:val="266F55AB"/>
    <w:rsid w:val="26822FB1"/>
    <w:rsid w:val="26D0702D"/>
    <w:rsid w:val="26DB02BF"/>
    <w:rsid w:val="26E3376C"/>
    <w:rsid w:val="26FB3CDC"/>
    <w:rsid w:val="26FF433E"/>
    <w:rsid w:val="27160EE4"/>
    <w:rsid w:val="273F304E"/>
    <w:rsid w:val="27846795"/>
    <w:rsid w:val="27E64D5A"/>
    <w:rsid w:val="27EE1E60"/>
    <w:rsid w:val="28164F13"/>
    <w:rsid w:val="28194B1B"/>
    <w:rsid w:val="282B09BF"/>
    <w:rsid w:val="282E04AF"/>
    <w:rsid w:val="28550131"/>
    <w:rsid w:val="285C14C0"/>
    <w:rsid w:val="28612632"/>
    <w:rsid w:val="28C8445F"/>
    <w:rsid w:val="28EF40E2"/>
    <w:rsid w:val="29037B8D"/>
    <w:rsid w:val="290A2CCA"/>
    <w:rsid w:val="29974847"/>
    <w:rsid w:val="29A06380"/>
    <w:rsid w:val="29B9024C"/>
    <w:rsid w:val="29C72969"/>
    <w:rsid w:val="29CE5680"/>
    <w:rsid w:val="29D55086"/>
    <w:rsid w:val="29E21551"/>
    <w:rsid w:val="29E76C78"/>
    <w:rsid w:val="2A846AAC"/>
    <w:rsid w:val="2A8B3997"/>
    <w:rsid w:val="2AA36F32"/>
    <w:rsid w:val="2AA42CAA"/>
    <w:rsid w:val="2AE45217"/>
    <w:rsid w:val="2AE61515"/>
    <w:rsid w:val="2AED63FF"/>
    <w:rsid w:val="2AEF3F25"/>
    <w:rsid w:val="2B073965"/>
    <w:rsid w:val="2B090037"/>
    <w:rsid w:val="2B4C5CAD"/>
    <w:rsid w:val="2B585F6F"/>
    <w:rsid w:val="2B996587"/>
    <w:rsid w:val="2BA76FD8"/>
    <w:rsid w:val="2BA967CA"/>
    <w:rsid w:val="2BD33847"/>
    <w:rsid w:val="2BE4765A"/>
    <w:rsid w:val="2BEE7CA9"/>
    <w:rsid w:val="2C444745"/>
    <w:rsid w:val="2C564EB8"/>
    <w:rsid w:val="2C5A1105"/>
    <w:rsid w:val="2C884632"/>
    <w:rsid w:val="2C9D0F40"/>
    <w:rsid w:val="2CA43435"/>
    <w:rsid w:val="2CA614FA"/>
    <w:rsid w:val="2CCA5809"/>
    <w:rsid w:val="2CDA6E57"/>
    <w:rsid w:val="2D140B79"/>
    <w:rsid w:val="2D2F71A3"/>
    <w:rsid w:val="2D300825"/>
    <w:rsid w:val="2D376058"/>
    <w:rsid w:val="2D3A16A4"/>
    <w:rsid w:val="2D475E7C"/>
    <w:rsid w:val="2D595FCE"/>
    <w:rsid w:val="2D5B3AF4"/>
    <w:rsid w:val="2D8A43D9"/>
    <w:rsid w:val="2DA07759"/>
    <w:rsid w:val="2DAD1E76"/>
    <w:rsid w:val="2DB43204"/>
    <w:rsid w:val="2DB72CF5"/>
    <w:rsid w:val="2E01028C"/>
    <w:rsid w:val="2E0221C2"/>
    <w:rsid w:val="2E0D3FF0"/>
    <w:rsid w:val="2E2A62A2"/>
    <w:rsid w:val="2E385BE3"/>
    <w:rsid w:val="2EA21263"/>
    <w:rsid w:val="2EBA0D0C"/>
    <w:rsid w:val="2EEF6BEA"/>
    <w:rsid w:val="2F302D5E"/>
    <w:rsid w:val="2F320885"/>
    <w:rsid w:val="2F4607D4"/>
    <w:rsid w:val="2F4D0C2D"/>
    <w:rsid w:val="2FA23C5C"/>
    <w:rsid w:val="2FD63906"/>
    <w:rsid w:val="2FD951A4"/>
    <w:rsid w:val="2FEE6EA1"/>
    <w:rsid w:val="30093CDB"/>
    <w:rsid w:val="304764C2"/>
    <w:rsid w:val="305E56A9"/>
    <w:rsid w:val="30607673"/>
    <w:rsid w:val="306B04F2"/>
    <w:rsid w:val="3078676B"/>
    <w:rsid w:val="30C85944"/>
    <w:rsid w:val="313C1E8F"/>
    <w:rsid w:val="314B3E80"/>
    <w:rsid w:val="31592A40"/>
    <w:rsid w:val="315A2315"/>
    <w:rsid w:val="315C42DF"/>
    <w:rsid w:val="316136A3"/>
    <w:rsid w:val="317E4255"/>
    <w:rsid w:val="31884247"/>
    <w:rsid w:val="318B6972"/>
    <w:rsid w:val="31A32590"/>
    <w:rsid w:val="31DE4CF4"/>
    <w:rsid w:val="31EF6F01"/>
    <w:rsid w:val="31F14CA6"/>
    <w:rsid w:val="31FC5806"/>
    <w:rsid w:val="323E5792"/>
    <w:rsid w:val="325E7BE3"/>
    <w:rsid w:val="327D5AD3"/>
    <w:rsid w:val="32D85BE7"/>
    <w:rsid w:val="32DC7485"/>
    <w:rsid w:val="32EB591A"/>
    <w:rsid w:val="32F76498"/>
    <w:rsid w:val="32FA3DAF"/>
    <w:rsid w:val="33472CC0"/>
    <w:rsid w:val="336F02F9"/>
    <w:rsid w:val="3392223A"/>
    <w:rsid w:val="33F86541"/>
    <w:rsid w:val="33FE167D"/>
    <w:rsid w:val="340D7B12"/>
    <w:rsid w:val="34692F9B"/>
    <w:rsid w:val="346A0AC1"/>
    <w:rsid w:val="346E05B1"/>
    <w:rsid w:val="346F4329"/>
    <w:rsid w:val="34D73CEB"/>
    <w:rsid w:val="34EA292A"/>
    <w:rsid w:val="34EE16F2"/>
    <w:rsid w:val="34F605A6"/>
    <w:rsid w:val="351D2E62"/>
    <w:rsid w:val="353F5AA9"/>
    <w:rsid w:val="354632DC"/>
    <w:rsid w:val="354B08F2"/>
    <w:rsid w:val="35645510"/>
    <w:rsid w:val="35B5220F"/>
    <w:rsid w:val="35C10BB4"/>
    <w:rsid w:val="35C3492C"/>
    <w:rsid w:val="35C80195"/>
    <w:rsid w:val="362829E1"/>
    <w:rsid w:val="36334054"/>
    <w:rsid w:val="363475D8"/>
    <w:rsid w:val="36BC15D6"/>
    <w:rsid w:val="36CC5A63"/>
    <w:rsid w:val="36D84407"/>
    <w:rsid w:val="372910C2"/>
    <w:rsid w:val="372F1B4E"/>
    <w:rsid w:val="37396AEF"/>
    <w:rsid w:val="374D6BA3"/>
    <w:rsid w:val="374E6478"/>
    <w:rsid w:val="375C08A1"/>
    <w:rsid w:val="37601950"/>
    <w:rsid w:val="377A726D"/>
    <w:rsid w:val="379A346B"/>
    <w:rsid w:val="37B02C8E"/>
    <w:rsid w:val="37DC3A83"/>
    <w:rsid w:val="37FE18D0"/>
    <w:rsid w:val="381D77E4"/>
    <w:rsid w:val="38207E14"/>
    <w:rsid w:val="38283C74"/>
    <w:rsid w:val="38585F69"/>
    <w:rsid w:val="385B7998"/>
    <w:rsid w:val="386F48F8"/>
    <w:rsid w:val="38812735"/>
    <w:rsid w:val="388B08B9"/>
    <w:rsid w:val="38A21ABB"/>
    <w:rsid w:val="38DF361B"/>
    <w:rsid w:val="38DF7CCF"/>
    <w:rsid w:val="38FA68B7"/>
    <w:rsid w:val="390C2146"/>
    <w:rsid w:val="39237555"/>
    <w:rsid w:val="394A0EC1"/>
    <w:rsid w:val="396C5956"/>
    <w:rsid w:val="39A90D7C"/>
    <w:rsid w:val="39F350B4"/>
    <w:rsid w:val="3A103EB8"/>
    <w:rsid w:val="3A2F07E2"/>
    <w:rsid w:val="3A563860"/>
    <w:rsid w:val="3A606BEE"/>
    <w:rsid w:val="3AA52D01"/>
    <w:rsid w:val="3B2F2DAF"/>
    <w:rsid w:val="3B2F65C0"/>
    <w:rsid w:val="3B36794F"/>
    <w:rsid w:val="3B4C3096"/>
    <w:rsid w:val="3B842468"/>
    <w:rsid w:val="3BA10B57"/>
    <w:rsid w:val="3BE23632"/>
    <w:rsid w:val="3C0812EB"/>
    <w:rsid w:val="3C1F03E3"/>
    <w:rsid w:val="3C6329C5"/>
    <w:rsid w:val="3C795D45"/>
    <w:rsid w:val="3C870DEA"/>
    <w:rsid w:val="3CBE3ED0"/>
    <w:rsid w:val="3D115F7D"/>
    <w:rsid w:val="3D127F47"/>
    <w:rsid w:val="3D3D6D72"/>
    <w:rsid w:val="3D4F4CF8"/>
    <w:rsid w:val="3D51281E"/>
    <w:rsid w:val="3D606F05"/>
    <w:rsid w:val="3D674FE1"/>
    <w:rsid w:val="3D7B3D3F"/>
    <w:rsid w:val="3D7D7AB7"/>
    <w:rsid w:val="3D8973DA"/>
    <w:rsid w:val="3DA07301"/>
    <w:rsid w:val="3DA23079"/>
    <w:rsid w:val="3DA2751D"/>
    <w:rsid w:val="3DA6700D"/>
    <w:rsid w:val="3DBD6105"/>
    <w:rsid w:val="3DC254CA"/>
    <w:rsid w:val="3DCE20C0"/>
    <w:rsid w:val="3DD1570D"/>
    <w:rsid w:val="3DE521D7"/>
    <w:rsid w:val="3DE9514C"/>
    <w:rsid w:val="3E703177"/>
    <w:rsid w:val="3E88226F"/>
    <w:rsid w:val="3EDE6333"/>
    <w:rsid w:val="3EE07D28"/>
    <w:rsid w:val="3EF20030"/>
    <w:rsid w:val="3EFE4C27"/>
    <w:rsid w:val="3F0264C5"/>
    <w:rsid w:val="3F03223E"/>
    <w:rsid w:val="3F177A97"/>
    <w:rsid w:val="3F485EA2"/>
    <w:rsid w:val="3F492050"/>
    <w:rsid w:val="3F8A0269"/>
    <w:rsid w:val="400022D9"/>
    <w:rsid w:val="402579D3"/>
    <w:rsid w:val="40420B44"/>
    <w:rsid w:val="40490124"/>
    <w:rsid w:val="40493C80"/>
    <w:rsid w:val="40552625"/>
    <w:rsid w:val="40973F7A"/>
    <w:rsid w:val="40CE0D73"/>
    <w:rsid w:val="40F212A8"/>
    <w:rsid w:val="41055DF9"/>
    <w:rsid w:val="41652D3C"/>
    <w:rsid w:val="41935E24"/>
    <w:rsid w:val="419A2AF3"/>
    <w:rsid w:val="41A90E7A"/>
    <w:rsid w:val="41C82DA6"/>
    <w:rsid w:val="41CA2B9F"/>
    <w:rsid w:val="420F4A55"/>
    <w:rsid w:val="422C5607"/>
    <w:rsid w:val="422F57AC"/>
    <w:rsid w:val="4249440B"/>
    <w:rsid w:val="4253528A"/>
    <w:rsid w:val="427174BE"/>
    <w:rsid w:val="42770F78"/>
    <w:rsid w:val="42831472"/>
    <w:rsid w:val="42896893"/>
    <w:rsid w:val="428B4A24"/>
    <w:rsid w:val="42BD2703"/>
    <w:rsid w:val="43095949"/>
    <w:rsid w:val="432F3601"/>
    <w:rsid w:val="43CD6976"/>
    <w:rsid w:val="43D47975"/>
    <w:rsid w:val="43DD4E0B"/>
    <w:rsid w:val="440A7BCA"/>
    <w:rsid w:val="442567B2"/>
    <w:rsid w:val="443C0F14"/>
    <w:rsid w:val="4447497A"/>
    <w:rsid w:val="446104E8"/>
    <w:rsid w:val="44760010"/>
    <w:rsid w:val="44B10046"/>
    <w:rsid w:val="44BF3E48"/>
    <w:rsid w:val="44C172CD"/>
    <w:rsid w:val="44C80CFD"/>
    <w:rsid w:val="44DE708D"/>
    <w:rsid w:val="44E63B05"/>
    <w:rsid w:val="452627E2"/>
    <w:rsid w:val="456B6447"/>
    <w:rsid w:val="45880BDF"/>
    <w:rsid w:val="45A367FC"/>
    <w:rsid w:val="45FE68CB"/>
    <w:rsid w:val="46080139"/>
    <w:rsid w:val="46081EE8"/>
    <w:rsid w:val="461042D4"/>
    <w:rsid w:val="464E302A"/>
    <w:rsid w:val="46712183"/>
    <w:rsid w:val="46C6427C"/>
    <w:rsid w:val="46E841F3"/>
    <w:rsid w:val="47370CD6"/>
    <w:rsid w:val="474358CD"/>
    <w:rsid w:val="476D46F8"/>
    <w:rsid w:val="47946129"/>
    <w:rsid w:val="47AD0F98"/>
    <w:rsid w:val="47FB28DA"/>
    <w:rsid w:val="48082673"/>
    <w:rsid w:val="482452A7"/>
    <w:rsid w:val="4840005F"/>
    <w:rsid w:val="48435459"/>
    <w:rsid w:val="48626132"/>
    <w:rsid w:val="486E0728"/>
    <w:rsid w:val="48BF5427"/>
    <w:rsid w:val="48F21359"/>
    <w:rsid w:val="49033566"/>
    <w:rsid w:val="491D3543"/>
    <w:rsid w:val="49236DF7"/>
    <w:rsid w:val="49287BCB"/>
    <w:rsid w:val="493F0316"/>
    <w:rsid w:val="49425710"/>
    <w:rsid w:val="49437E06"/>
    <w:rsid w:val="494871CB"/>
    <w:rsid w:val="49663AF5"/>
    <w:rsid w:val="49920446"/>
    <w:rsid w:val="49A32653"/>
    <w:rsid w:val="49D8149B"/>
    <w:rsid w:val="49E52C6C"/>
    <w:rsid w:val="49FE1F7F"/>
    <w:rsid w:val="4A064990"/>
    <w:rsid w:val="4A217033"/>
    <w:rsid w:val="4A2A27B0"/>
    <w:rsid w:val="4A463ED2"/>
    <w:rsid w:val="4A57079E"/>
    <w:rsid w:val="4A78588E"/>
    <w:rsid w:val="4A985F30"/>
    <w:rsid w:val="4AC434C7"/>
    <w:rsid w:val="4AC705C3"/>
    <w:rsid w:val="4AD625B4"/>
    <w:rsid w:val="4ADE18C4"/>
    <w:rsid w:val="4B142B93"/>
    <w:rsid w:val="4B1530DD"/>
    <w:rsid w:val="4B3C2D5F"/>
    <w:rsid w:val="4B412124"/>
    <w:rsid w:val="4B5C6F5D"/>
    <w:rsid w:val="4B7324F9"/>
    <w:rsid w:val="4B7E5126"/>
    <w:rsid w:val="4B80274D"/>
    <w:rsid w:val="4B9D5CEC"/>
    <w:rsid w:val="4BAE76D7"/>
    <w:rsid w:val="4C23524A"/>
    <w:rsid w:val="4C4925A9"/>
    <w:rsid w:val="4C545E87"/>
    <w:rsid w:val="4C583BC9"/>
    <w:rsid w:val="4C6836E0"/>
    <w:rsid w:val="4C7958ED"/>
    <w:rsid w:val="4C804ECE"/>
    <w:rsid w:val="4CA3296A"/>
    <w:rsid w:val="4CEC7ABD"/>
    <w:rsid w:val="4D0077DD"/>
    <w:rsid w:val="4D111FCA"/>
    <w:rsid w:val="4D113D78"/>
    <w:rsid w:val="4D1675E0"/>
    <w:rsid w:val="4D302450"/>
    <w:rsid w:val="4D6B792C"/>
    <w:rsid w:val="4D7762D0"/>
    <w:rsid w:val="4D897DB2"/>
    <w:rsid w:val="4D950505"/>
    <w:rsid w:val="4DBB26B4"/>
    <w:rsid w:val="4DF53699"/>
    <w:rsid w:val="4E0E6F78"/>
    <w:rsid w:val="4E141D71"/>
    <w:rsid w:val="4E3E6DEE"/>
    <w:rsid w:val="4E41068C"/>
    <w:rsid w:val="4E597784"/>
    <w:rsid w:val="4E6F6FA8"/>
    <w:rsid w:val="4E881E17"/>
    <w:rsid w:val="4E962786"/>
    <w:rsid w:val="4EE01C53"/>
    <w:rsid w:val="4EF474AD"/>
    <w:rsid w:val="4EF676C9"/>
    <w:rsid w:val="4F0C0C9A"/>
    <w:rsid w:val="4F0C2A48"/>
    <w:rsid w:val="4F157EBA"/>
    <w:rsid w:val="4F820F5D"/>
    <w:rsid w:val="4F8627FB"/>
    <w:rsid w:val="4F9547EC"/>
    <w:rsid w:val="4FA669F9"/>
    <w:rsid w:val="4FB05ACA"/>
    <w:rsid w:val="4FE94B38"/>
    <w:rsid w:val="4FFE6835"/>
    <w:rsid w:val="500B0F52"/>
    <w:rsid w:val="505540DC"/>
    <w:rsid w:val="505E72D4"/>
    <w:rsid w:val="506568B4"/>
    <w:rsid w:val="509E1DC6"/>
    <w:rsid w:val="50B769E4"/>
    <w:rsid w:val="50D457E8"/>
    <w:rsid w:val="50DE7CAE"/>
    <w:rsid w:val="50E83041"/>
    <w:rsid w:val="517F3B4C"/>
    <w:rsid w:val="51932FAD"/>
    <w:rsid w:val="51A715C3"/>
    <w:rsid w:val="51B57E04"/>
    <w:rsid w:val="51C15D6C"/>
    <w:rsid w:val="51CF670C"/>
    <w:rsid w:val="51E03C88"/>
    <w:rsid w:val="51F577C4"/>
    <w:rsid w:val="52391DA6"/>
    <w:rsid w:val="523C1897"/>
    <w:rsid w:val="52426781"/>
    <w:rsid w:val="52642B9B"/>
    <w:rsid w:val="52A631B4"/>
    <w:rsid w:val="52C45EE8"/>
    <w:rsid w:val="52CA50F4"/>
    <w:rsid w:val="52D01FDF"/>
    <w:rsid w:val="5311062D"/>
    <w:rsid w:val="531C6E17"/>
    <w:rsid w:val="533B38FC"/>
    <w:rsid w:val="53424C8B"/>
    <w:rsid w:val="535624E4"/>
    <w:rsid w:val="535F3A8F"/>
    <w:rsid w:val="536E5A80"/>
    <w:rsid w:val="53890B0C"/>
    <w:rsid w:val="53E95095"/>
    <w:rsid w:val="53F00B8B"/>
    <w:rsid w:val="5402137E"/>
    <w:rsid w:val="54295E4B"/>
    <w:rsid w:val="547A66A6"/>
    <w:rsid w:val="54AB6860"/>
    <w:rsid w:val="54D73AF9"/>
    <w:rsid w:val="54FC355F"/>
    <w:rsid w:val="552E0EB4"/>
    <w:rsid w:val="554A6079"/>
    <w:rsid w:val="555D3FFE"/>
    <w:rsid w:val="55621614"/>
    <w:rsid w:val="556B2F15"/>
    <w:rsid w:val="557C1FAA"/>
    <w:rsid w:val="558779A3"/>
    <w:rsid w:val="55AB3BAD"/>
    <w:rsid w:val="55E22755"/>
    <w:rsid w:val="55EE1D9F"/>
    <w:rsid w:val="55F85AD5"/>
    <w:rsid w:val="560C1580"/>
    <w:rsid w:val="56187F25"/>
    <w:rsid w:val="562468CA"/>
    <w:rsid w:val="56326E1C"/>
    <w:rsid w:val="56327239"/>
    <w:rsid w:val="565D3B8A"/>
    <w:rsid w:val="56757125"/>
    <w:rsid w:val="568F468B"/>
    <w:rsid w:val="57275C0F"/>
    <w:rsid w:val="57770C7B"/>
    <w:rsid w:val="579B28E9"/>
    <w:rsid w:val="57D04F5B"/>
    <w:rsid w:val="582416E5"/>
    <w:rsid w:val="582B2FC0"/>
    <w:rsid w:val="58311772"/>
    <w:rsid w:val="58474AF1"/>
    <w:rsid w:val="586C4558"/>
    <w:rsid w:val="58EE31BF"/>
    <w:rsid w:val="594843FF"/>
    <w:rsid w:val="597C07CB"/>
    <w:rsid w:val="59926240"/>
    <w:rsid w:val="59933AF1"/>
    <w:rsid w:val="59B47F65"/>
    <w:rsid w:val="59B77A55"/>
    <w:rsid w:val="59DF76D7"/>
    <w:rsid w:val="59E21C1C"/>
    <w:rsid w:val="5A076EB3"/>
    <w:rsid w:val="5A4C4641"/>
    <w:rsid w:val="5A55387D"/>
    <w:rsid w:val="5A62117C"/>
    <w:rsid w:val="5A7D6B48"/>
    <w:rsid w:val="5AA56E05"/>
    <w:rsid w:val="5AA913E1"/>
    <w:rsid w:val="5AAC2117"/>
    <w:rsid w:val="5AD07020"/>
    <w:rsid w:val="5AF42C8A"/>
    <w:rsid w:val="5AF745AD"/>
    <w:rsid w:val="5B034795"/>
    <w:rsid w:val="5B04316E"/>
    <w:rsid w:val="5B060C94"/>
    <w:rsid w:val="5B066226"/>
    <w:rsid w:val="5B331092"/>
    <w:rsid w:val="5B5D56DF"/>
    <w:rsid w:val="5B6065F6"/>
    <w:rsid w:val="5B7707E7"/>
    <w:rsid w:val="5B775AF2"/>
    <w:rsid w:val="5B89775C"/>
    <w:rsid w:val="5B9C6F02"/>
    <w:rsid w:val="5BE34B31"/>
    <w:rsid w:val="5BF63768"/>
    <w:rsid w:val="5C153368"/>
    <w:rsid w:val="5C2A6C04"/>
    <w:rsid w:val="5C403D31"/>
    <w:rsid w:val="5C5559EE"/>
    <w:rsid w:val="5D700646"/>
    <w:rsid w:val="5D7F6ADB"/>
    <w:rsid w:val="5D8B722E"/>
    <w:rsid w:val="5DB2206C"/>
    <w:rsid w:val="5E2037A2"/>
    <w:rsid w:val="5E6C52B2"/>
    <w:rsid w:val="5E8D26AE"/>
    <w:rsid w:val="5E937DAE"/>
    <w:rsid w:val="5EAE0713"/>
    <w:rsid w:val="5EAF7368"/>
    <w:rsid w:val="5ED510A9"/>
    <w:rsid w:val="5EF13A09"/>
    <w:rsid w:val="5F074FDA"/>
    <w:rsid w:val="5F1637F9"/>
    <w:rsid w:val="5F28567D"/>
    <w:rsid w:val="5F4355E2"/>
    <w:rsid w:val="5F5B21A9"/>
    <w:rsid w:val="5F6E0BB6"/>
    <w:rsid w:val="5F705A8F"/>
    <w:rsid w:val="5F7F3798"/>
    <w:rsid w:val="5F950838"/>
    <w:rsid w:val="5FAA6092"/>
    <w:rsid w:val="5FAD16DE"/>
    <w:rsid w:val="5FC30D84"/>
    <w:rsid w:val="5FCB17C5"/>
    <w:rsid w:val="5FEC48FC"/>
    <w:rsid w:val="608508AD"/>
    <w:rsid w:val="608D4EAA"/>
    <w:rsid w:val="60B151FE"/>
    <w:rsid w:val="611F485D"/>
    <w:rsid w:val="61204131"/>
    <w:rsid w:val="613C4036"/>
    <w:rsid w:val="617A7CE6"/>
    <w:rsid w:val="619C08C2"/>
    <w:rsid w:val="619D39D4"/>
    <w:rsid w:val="61BC107D"/>
    <w:rsid w:val="61F555BE"/>
    <w:rsid w:val="62285994"/>
    <w:rsid w:val="62D11B87"/>
    <w:rsid w:val="62F404C8"/>
    <w:rsid w:val="62F835B8"/>
    <w:rsid w:val="62FA7330"/>
    <w:rsid w:val="630A5099"/>
    <w:rsid w:val="630E4B89"/>
    <w:rsid w:val="633F0072"/>
    <w:rsid w:val="63422A85"/>
    <w:rsid w:val="63526223"/>
    <w:rsid w:val="63554566"/>
    <w:rsid w:val="63607CF7"/>
    <w:rsid w:val="6377272F"/>
    <w:rsid w:val="63936E3D"/>
    <w:rsid w:val="63C416EC"/>
    <w:rsid w:val="63E8362C"/>
    <w:rsid w:val="63FA510E"/>
    <w:rsid w:val="645050CE"/>
    <w:rsid w:val="64583494"/>
    <w:rsid w:val="64675133"/>
    <w:rsid w:val="649A3E6D"/>
    <w:rsid w:val="64C5396E"/>
    <w:rsid w:val="64D07704"/>
    <w:rsid w:val="6545060B"/>
    <w:rsid w:val="654A79CF"/>
    <w:rsid w:val="658B0713"/>
    <w:rsid w:val="658E3D60"/>
    <w:rsid w:val="65B5753E"/>
    <w:rsid w:val="66140709"/>
    <w:rsid w:val="662D5327"/>
    <w:rsid w:val="66342B59"/>
    <w:rsid w:val="665054B9"/>
    <w:rsid w:val="666F1DE3"/>
    <w:rsid w:val="668A2779"/>
    <w:rsid w:val="668F1B3D"/>
    <w:rsid w:val="66903B07"/>
    <w:rsid w:val="66EF6A80"/>
    <w:rsid w:val="67112E9A"/>
    <w:rsid w:val="67334BBF"/>
    <w:rsid w:val="67515045"/>
    <w:rsid w:val="678673E4"/>
    <w:rsid w:val="678C2521"/>
    <w:rsid w:val="67E20393"/>
    <w:rsid w:val="67E81E4D"/>
    <w:rsid w:val="67EB36EB"/>
    <w:rsid w:val="680E1188"/>
    <w:rsid w:val="68103152"/>
    <w:rsid w:val="68106CAE"/>
    <w:rsid w:val="68324E41"/>
    <w:rsid w:val="6860573C"/>
    <w:rsid w:val="68A84004"/>
    <w:rsid w:val="68B27D65"/>
    <w:rsid w:val="68B97345"/>
    <w:rsid w:val="68C32E2A"/>
    <w:rsid w:val="68CB7079"/>
    <w:rsid w:val="68CF4DBB"/>
    <w:rsid w:val="68D51CA5"/>
    <w:rsid w:val="68EE6BB9"/>
    <w:rsid w:val="691050A2"/>
    <w:rsid w:val="69320EA6"/>
    <w:rsid w:val="695D23C7"/>
    <w:rsid w:val="69746FEF"/>
    <w:rsid w:val="697B0A9F"/>
    <w:rsid w:val="69807E63"/>
    <w:rsid w:val="69C73CE4"/>
    <w:rsid w:val="69CA10DE"/>
    <w:rsid w:val="69CE0BCF"/>
    <w:rsid w:val="69E14DA6"/>
    <w:rsid w:val="69FD14B4"/>
    <w:rsid w:val="6A1D56B2"/>
    <w:rsid w:val="6A2576A7"/>
    <w:rsid w:val="6A4C5F97"/>
    <w:rsid w:val="6A8A71EB"/>
    <w:rsid w:val="6AAB5554"/>
    <w:rsid w:val="6B250CC2"/>
    <w:rsid w:val="6B3B04E6"/>
    <w:rsid w:val="6B427AC6"/>
    <w:rsid w:val="6B480A87"/>
    <w:rsid w:val="6B4C26F3"/>
    <w:rsid w:val="6B6970BF"/>
    <w:rsid w:val="6B7E03D2"/>
    <w:rsid w:val="6B8359E9"/>
    <w:rsid w:val="6B8A321B"/>
    <w:rsid w:val="6B9B2D32"/>
    <w:rsid w:val="6BAA11C7"/>
    <w:rsid w:val="6BE50C1B"/>
    <w:rsid w:val="6C7A503E"/>
    <w:rsid w:val="6C9E6F7E"/>
    <w:rsid w:val="6CB22A29"/>
    <w:rsid w:val="6CB61189"/>
    <w:rsid w:val="6CBE317C"/>
    <w:rsid w:val="6CFA617E"/>
    <w:rsid w:val="6CFF63B2"/>
    <w:rsid w:val="6D035033"/>
    <w:rsid w:val="6D08089B"/>
    <w:rsid w:val="6D0B038C"/>
    <w:rsid w:val="6D4D134C"/>
    <w:rsid w:val="6D7777CF"/>
    <w:rsid w:val="6DAE1443"/>
    <w:rsid w:val="6DD24A05"/>
    <w:rsid w:val="6DF332FA"/>
    <w:rsid w:val="6DF901E4"/>
    <w:rsid w:val="6E1D0376"/>
    <w:rsid w:val="6E1D2124"/>
    <w:rsid w:val="6E2214E9"/>
    <w:rsid w:val="6E316B33"/>
    <w:rsid w:val="6E810FA2"/>
    <w:rsid w:val="6EAC5256"/>
    <w:rsid w:val="6EB72579"/>
    <w:rsid w:val="6EBF31DC"/>
    <w:rsid w:val="6EF42D9F"/>
    <w:rsid w:val="6F2C610D"/>
    <w:rsid w:val="6F3C65DA"/>
    <w:rsid w:val="6F55769C"/>
    <w:rsid w:val="6F655B31"/>
    <w:rsid w:val="6FC00FB9"/>
    <w:rsid w:val="6FD40F09"/>
    <w:rsid w:val="70115CB9"/>
    <w:rsid w:val="70441BEA"/>
    <w:rsid w:val="7053007F"/>
    <w:rsid w:val="707A3787"/>
    <w:rsid w:val="707A560C"/>
    <w:rsid w:val="709456B8"/>
    <w:rsid w:val="70A628A5"/>
    <w:rsid w:val="70C26DB0"/>
    <w:rsid w:val="70CD6084"/>
    <w:rsid w:val="70CE3BAA"/>
    <w:rsid w:val="70E60EF4"/>
    <w:rsid w:val="70F30069"/>
    <w:rsid w:val="71025602"/>
    <w:rsid w:val="71226D51"/>
    <w:rsid w:val="713003C1"/>
    <w:rsid w:val="716B31A7"/>
    <w:rsid w:val="72111FA0"/>
    <w:rsid w:val="721750DD"/>
    <w:rsid w:val="726A345E"/>
    <w:rsid w:val="727662A7"/>
    <w:rsid w:val="728C5ACB"/>
    <w:rsid w:val="729A4F74"/>
    <w:rsid w:val="72A037DB"/>
    <w:rsid w:val="72A9042B"/>
    <w:rsid w:val="731955B0"/>
    <w:rsid w:val="736D76AA"/>
    <w:rsid w:val="73722F12"/>
    <w:rsid w:val="73C179F6"/>
    <w:rsid w:val="73DD4830"/>
    <w:rsid w:val="7400051E"/>
    <w:rsid w:val="742250BE"/>
    <w:rsid w:val="742F670E"/>
    <w:rsid w:val="74367A9C"/>
    <w:rsid w:val="74424693"/>
    <w:rsid w:val="745F3497"/>
    <w:rsid w:val="74730CF0"/>
    <w:rsid w:val="74AC31B2"/>
    <w:rsid w:val="74BF6C26"/>
    <w:rsid w:val="74D250B1"/>
    <w:rsid w:val="74E03EAC"/>
    <w:rsid w:val="74E90FB2"/>
    <w:rsid w:val="750202C6"/>
    <w:rsid w:val="75093403"/>
    <w:rsid w:val="75096F5F"/>
    <w:rsid w:val="751C1388"/>
    <w:rsid w:val="75365CB7"/>
    <w:rsid w:val="75483F2B"/>
    <w:rsid w:val="756B5E6B"/>
    <w:rsid w:val="756C2C66"/>
    <w:rsid w:val="759A04FF"/>
    <w:rsid w:val="75A849CA"/>
    <w:rsid w:val="761E4C8C"/>
    <w:rsid w:val="765C57B4"/>
    <w:rsid w:val="769136B0"/>
    <w:rsid w:val="76C40C48"/>
    <w:rsid w:val="76D91E95"/>
    <w:rsid w:val="7769462C"/>
    <w:rsid w:val="7791148D"/>
    <w:rsid w:val="77A776A5"/>
    <w:rsid w:val="77D53A70"/>
    <w:rsid w:val="781400F4"/>
    <w:rsid w:val="78340796"/>
    <w:rsid w:val="785E75C1"/>
    <w:rsid w:val="7860158C"/>
    <w:rsid w:val="788107B9"/>
    <w:rsid w:val="7883328C"/>
    <w:rsid w:val="78A74AFF"/>
    <w:rsid w:val="78AC4D98"/>
    <w:rsid w:val="78C935D5"/>
    <w:rsid w:val="78E27E65"/>
    <w:rsid w:val="78F33E83"/>
    <w:rsid w:val="79027014"/>
    <w:rsid w:val="79312F28"/>
    <w:rsid w:val="79391E13"/>
    <w:rsid w:val="794C5FB4"/>
    <w:rsid w:val="79586707"/>
    <w:rsid w:val="797572B9"/>
    <w:rsid w:val="798B6ADC"/>
    <w:rsid w:val="79B704CA"/>
    <w:rsid w:val="79B871A5"/>
    <w:rsid w:val="79EB1329"/>
    <w:rsid w:val="79F20909"/>
    <w:rsid w:val="79F37553"/>
    <w:rsid w:val="79FD2E0A"/>
    <w:rsid w:val="7A0B3779"/>
    <w:rsid w:val="7A4F7B0A"/>
    <w:rsid w:val="7A805F15"/>
    <w:rsid w:val="7A885CD7"/>
    <w:rsid w:val="7AB96AE5"/>
    <w:rsid w:val="7AC5601E"/>
    <w:rsid w:val="7AE83ABA"/>
    <w:rsid w:val="7AEE41F0"/>
    <w:rsid w:val="7AFD57B8"/>
    <w:rsid w:val="7B127930"/>
    <w:rsid w:val="7BB8348D"/>
    <w:rsid w:val="7BDA1655"/>
    <w:rsid w:val="7C127ECF"/>
    <w:rsid w:val="7C2741FB"/>
    <w:rsid w:val="7C336FB7"/>
    <w:rsid w:val="7C4E5B9F"/>
    <w:rsid w:val="7C5B649E"/>
    <w:rsid w:val="7C5E4034"/>
    <w:rsid w:val="7C857813"/>
    <w:rsid w:val="7C8A59B2"/>
    <w:rsid w:val="7C947A56"/>
    <w:rsid w:val="7C9E08D4"/>
    <w:rsid w:val="7CEC7892"/>
    <w:rsid w:val="7D1D6C1E"/>
    <w:rsid w:val="7D4E22FA"/>
    <w:rsid w:val="7D4F1BCF"/>
    <w:rsid w:val="7D6366CE"/>
    <w:rsid w:val="7D83662D"/>
    <w:rsid w:val="7DBD2FDC"/>
    <w:rsid w:val="7DCC321F"/>
    <w:rsid w:val="7DCE51E9"/>
    <w:rsid w:val="7DDD367E"/>
    <w:rsid w:val="7DEE3196"/>
    <w:rsid w:val="7DF52776"/>
    <w:rsid w:val="7E062BD5"/>
    <w:rsid w:val="7E1150D6"/>
    <w:rsid w:val="7E3239CA"/>
    <w:rsid w:val="7E6D67B0"/>
    <w:rsid w:val="7E9975A5"/>
    <w:rsid w:val="7ED95BF4"/>
    <w:rsid w:val="7F2F7F0A"/>
    <w:rsid w:val="7F855D7C"/>
    <w:rsid w:val="7F88692B"/>
    <w:rsid w:val="7FA36202"/>
    <w:rsid w:val="7FBA3C77"/>
    <w:rsid w:val="7FD14B1D"/>
    <w:rsid w:val="7FDD5BB8"/>
    <w:rsid w:val="7FEA1941"/>
    <w:rsid w:val="7FF5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overflowPunct w:val="0"/>
      <w:autoSpaceDE w:val="0"/>
      <w:autoSpaceDN w:val="0"/>
      <w:adjustRightInd w:val="0"/>
      <w:textAlignment w:val="baseline"/>
    </w:pPr>
    <w:rPr>
      <w:rFonts w:ascii="Times New Roman" w:hAnsi="Times New Roman" w:eastAsia="宋体" w:cs="Times New Roman"/>
      <w:lang w:val="en-US" w:eastAsia="zh-CN" w:bidi="ar-SA"/>
    </w:rPr>
  </w:style>
  <w:style w:type="paragraph" w:styleId="2">
    <w:name w:val="heading 1"/>
    <w:basedOn w:val="1"/>
    <w:next w:val="1"/>
    <w:qFormat/>
    <w:uiPriority w:val="0"/>
    <w:pPr>
      <w:spacing w:before="280"/>
      <w:outlineLvl w:val="0"/>
    </w:pPr>
    <w:rPr>
      <w:rFonts w:ascii="Arial Black" w:hAnsi="Arial Black"/>
      <w:sz w:val="28"/>
    </w:rPr>
  </w:style>
  <w:style w:type="paragraph" w:styleId="3">
    <w:name w:val="heading 2"/>
    <w:basedOn w:val="1"/>
    <w:next w:val="1"/>
    <w:qFormat/>
    <w:uiPriority w:val="0"/>
    <w:pPr>
      <w:spacing w:before="120"/>
      <w:outlineLvl w:val="1"/>
    </w:pPr>
    <w:rPr>
      <w:rFonts w:ascii="Arial" w:hAnsi="Arial"/>
      <w:b/>
      <w:sz w:val="24"/>
    </w:rPr>
  </w:style>
  <w:style w:type="paragraph" w:styleId="4">
    <w:name w:val="heading 3"/>
    <w:basedOn w:val="1"/>
    <w:next w:val="1"/>
    <w:qFormat/>
    <w:uiPriority w:val="0"/>
    <w:pPr>
      <w:spacing w:before="120"/>
      <w:outlineLvl w:val="2"/>
    </w:pPr>
    <w:rPr>
      <w:b/>
      <w:sz w:val="24"/>
    </w:rPr>
  </w:style>
  <w:style w:type="paragraph" w:styleId="5">
    <w:name w:val="heading 4"/>
    <w:basedOn w:val="1"/>
    <w:next w:val="1"/>
    <w:qFormat/>
    <w:uiPriority w:val="0"/>
    <w:pPr>
      <w:keepNext/>
      <w:widowControl w:val="0"/>
      <w:numPr>
        <w:ilvl w:val="4"/>
        <w:numId w:val="1"/>
      </w:numPr>
      <w:tabs>
        <w:tab w:val="left" w:pos="567"/>
        <w:tab w:val="clear" w:pos="2550"/>
      </w:tabs>
      <w:overflowPunct/>
      <w:spacing w:before="240" w:beforeLines="100" w:line="360" w:lineRule="auto"/>
      <w:ind w:hanging="2408"/>
      <w:jc w:val="both"/>
      <w:textAlignment w:val="auto"/>
      <w:outlineLvl w:val="3"/>
    </w:pPr>
    <w:rPr>
      <w:rFonts w:eastAsia="方正仿宋_GB2312"/>
      <w:color w:val="000000"/>
      <w:sz w:val="24"/>
      <w:szCs w:val="24"/>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character" w:default="1" w:styleId="29">
    <w:name w:val="Default Paragraph Font"/>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widowControl w:val="0"/>
      <w:overflowPunct/>
      <w:autoSpaceDE/>
      <w:autoSpaceDN/>
      <w:adjustRightInd/>
      <w:ind w:firstLine="420"/>
      <w:jc w:val="both"/>
      <w:textAlignment w:val="auto"/>
    </w:pPr>
    <w:rPr>
      <w:b/>
      <w:kern w:val="2"/>
      <w:sz w:val="28"/>
    </w:rPr>
  </w:style>
  <w:style w:type="paragraph" w:styleId="8">
    <w:name w:val="caption"/>
    <w:basedOn w:val="1"/>
    <w:next w:val="1"/>
    <w:qFormat/>
    <w:uiPriority w:val="0"/>
    <w:pPr>
      <w:widowControl w:val="0"/>
      <w:numPr>
        <w:ilvl w:val="3"/>
        <w:numId w:val="1"/>
      </w:numPr>
      <w:tabs>
        <w:tab w:val="left" w:pos="709"/>
        <w:tab w:val="clear" w:pos="2250"/>
      </w:tabs>
      <w:overflowPunct/>
      <w:spacing w:before="240" w:beforeLines="100" w:line="480" w:lineRule="auto"/>
      <w:ind w:hanging="2250"/>
      <w:textAlignment w:val="auto"/>
    </w:pPr>
    <w:rPr>
      <w:rFonts w:ascii="方正仿宋_GB2312" w:hAnsi="宋体" w:eastAsia="方正仿宋_GB2312"/>
      <w:color w:val="000000"/>
      <w:sz w:val="24"/>
      <w:szCs w:val="24"/>
    </w:rPr>
  </w:style>
  <w:style w:type="paragraph" w:styleId="9">
    <w:name w:val="annotation text"/>
    <w:basedOn w:val="1"/>
    <w:link w:val="87"/>
    <w:semiHidden/>
    <w:qFormat/>
    <w:uiPriority w:val="0"/>
    <w:pPr>
      <w:widowControl w:val="0"/>
      <w:overflowPunct/>
      <w:autoSpaceDE/>
      <w:autoSpaceDN/>
      <w:adjustRightInd/>
      <w:textAlignment w:val="auto"/>
    </w:pPr>
    <w:rPr>
      <w:kern w:val="2"/>
      <w:sz w:val="21"/>
    </w:rPr>
  </w:style>
  <w:style w:type="paragraph" w:styleId="10">
    <w:name w:val="Body Text 3"/>
    <w:basedOn w:val="1"/>
    <w:unhideWhenUsed/>
    <w:qFormat/>
    <w:uiPriority w:val="99"/>
    <w:pPr>
      <w:spacing w:before="240" w:after="120" w:line="360" w:lineRule="auto"/>
      <w:ind w:left="142"/>
      <w:jc w:val="both"/>
    </w:pPr>
    <w:rPr>
      <w:rFonts w:ascii="楷体" w:hAnsi="楷体" w:eastAsia="楷体"/>
      <w:sz w:val="28"/>
      <w:szCs w:val="28"/>
    </w:rPr>
  </w:style>
  <w:style w:type="paragraph" w:styleId="11">
    <w:name w:val="Body Text"/>
    <w:basedOn w:val="1"/>
    <w:qFormat/>
    <w:uiPriority w:val="0"/>
    <w:pPr>
      <w:spacing w:after="120"/>
    </w:pPr>
  </w:style>
  <w:style w:type="paragraph" w:styleId="12">
    <w:name w:val="Body Text Indent"/>
    <w:basedOn w:val="1"/>
    <w:qFormat/>
    <w:uiPriority w:val="0"/>
    <w:pPr>
      <w:spacing w:after="120"/>
      <w:ind w:left="420" w:leftChars="200"/>
    </w:pPr>
  </w:style>
  <w:style w:type="paragraph" w:styleId="13">
    <w:name w:val="List 2"/>
    <w:basedOn w:val="1"/>
    <w:qFormat/>
    <w:uiPriority w:val="0"/>
    <w:pPr>
      <w:ind w:left="100" w:leftChars="200" w:hanging="200" w:hangingChars="200"/>
    </w:pPr>
  </w:style>
  <w:style w:type="paragraph" w:styleId="14">
    <w:name w:val="Plain Text"/>
    <w:basedOn w:val="1"/>
    <w:link w:val="33"/>
    <w:qFormat/>
    <w:uiPriority w:val="0"/>
    <w:pPr>
      <w:widowControl w:val="0"/>
      <w:overflowPunct/>
      <w:autoSpaceDE/>
      <w:autoSpaceDN/>
      <w:adjustRightInd/>
      <w:jc w:val="both"/>
      <w:textAlignment w:val="auto"/>
    </w:pPr>
    <w:rPr>
      <w:rFonts w:ascii="宋体" w:hAnsi="Courier New"/>
      <w:kern w:val="2"/>
      <w:sz w:val="21"/>
    </w:rPr>
  </w:style>
  <w:style w:type="paragraph" w:styleId="15">
    <w:name w:val="Date"/>
    <w:basedOn w:val="1"/>
    <w:next w:val="1"/>
    <w:qFormat/>
    <w:uiPriority w:val="0"/>
    <w:pPr>
      <w:widowControl w:val="0"/>
      <w:overflowPunct/>
      <w:autoSpaceDE/>
      <w:autoSpaceDN/>
      <w:adjustRightInd/>
      <w:jc w:val="both"/>
      <w:textAlignment w:val="auto"/>
    </w:pPr>
    <w:rPr>
      <w:rFonts w:ascii="方正仿宋_GB2312" w:eastAsia="方正仿宋_GB2312"/>
      <w:kern w:val="2"/>
      <w:sz w:val="24"/>
    </w:rPr>
  </w:style>
  <w:style w:type="paragraph" w:styleId="16">
    <w:name w:val="Body Text Indent 2"/>
    <w:basedOn w:val="1"/>
    <w:qFormat/>
    <w:uiPriority w:val="0"/>
    <w:pPr>
      <w:widowControl w:val="0"/>
      <w:overflowPunct/>
      <w:autoSpaceDE/>
      <w:autoSpaceDN/>
      <w:adjustRightInd/>
      <w:ind w:left="480"/>
      <w:jc w:val="both"/>
      <w:textAlignment w:val="auto"/>
    </w:pPr>
    <w:rPr>
      <w:rFonts w:ascii="方正仿宋_GB2312" w:eastAsia="方正仿宋_GB2312"/>
      <w:color w:val="0000FF"/>
      <w:kern w:val="2"/>
      <w:sz w:val="24"/>
    </w:rPr>
  </w:style>
  <w:style w:type="paragraph" w:styleId="17">
    <w:name w:val="Balloon Text"/>
    <w:basedOn w:val="1"/>
    <w:semiHidden/>
    <w:qFormat/>
    <w:uiPriority w:val="0"/>
    <w:rPr>
      <w:sz w:val="18"/>
      <w:szCs w:val="18"/>
    </w:rPr>
  </w:style>
  <w:style w:type="paragraph" w:styleId="18">
    <w:name w:val="footer"/>
    <w:basedOn w:val="1"/>
    <w:link w:val="91"/>
    <w:qFormat/>
    <w:uiPriority w:val="99"/>
    <w:pPr>
      <w:framePr w:wrap="around" w:vAnchor="text" w:hAnchor="page" w:x="1816" w:y="15"/>
      <w:tabs>
        <w:tab w:val="right" w:pos="8160"/>
      </w:tabs>
      <w:ind w:right="120"/>
      <w:jc w:val="center"/>
    </w:pPr>
    <w:rPr>
      <w:rFonts w:asciiTheme="minorEastAsia" w:hAnsiTheme="minorEastAsia" w:eastAsiaTheme="minorEastAsia" w:cstheme="minorEastAsia"/>
      <w:iCs/>
      <w:w w:val="90"/>
      <w:sz w:val="21"/>
      <w:szCs w:val="18"/>
    </w:rPr>
  </w:style>
  <w:style w:type="paragraph" w:styleId="19">
    <w:name w:val="header"/>
    <w:basedOn w:val="1"/>
    <w:qFormat/>
    <w:uiPriority w:val="0"/>
    <w:pPr>
      <w:tabs>
        <w:tab w:val="left" w:pos="600"/>
        <w:tab w:val="right" w:pos="9000"/>
      </w:tabs>
      <w:spacing w:line="120" w:lineRule="auto"/>
      <w:jc w:val="both"/>
    </w:pPr>
    <w:rPr>
      <w:i/>
      <w:sz w:val="24"/>
    </w:rPr>
  </w:style>
  <w:style w:type="paragraph" w:styleId="20">
    <w:name w:val="toc 1"/>
    <w:basedOn w:val="1"/>
    <w:next w:val="1"/>
    <w:semiHidden/>
    <w:qFormat/>
    <w:uiPriority w:val="0"/>
    <w:pPr>
      <w:widowControl w:val="0"/>
      <w:overflowPunct/>
      <w:autoSpaceDE/>
      <w:autoSpaceDN/>
      <w:adjustRightInd/>
      <w:spacing w:before="120" w:after="120"/>
      <w:textAlignment w:val="auto"/>
    </w:pPr>
    <w:rPr>
      <w:b/>
      <w:bCs/>
      <w:caps/>
      <w:kern w:val="2"/>
    </w:rPr>
  </w:style>
  <w:style w:type="paragraph" w:styleId="21">
    <w:name w:val="footnote text"/>
    <w:basedOn w:val="1"/>
    <w:qFormat/>
    <w:uiPriority w:val="0"/>
    <w:pPr>
      <w:snapToGrid w:val="0"/>
    </w:pPr>
    <w:rPr>
      <w:rFonts w:cs="Arial"/>
      <w:sz w:val="18"/>
      <w:szCs w:val="18"/>
    </w:rPr>
  </w:style>
  <w:style w:type="paragraph" w:styleId="22">
    <w:name w:val="Body Text Indent 3"/>
    <w:basedOn w:val="1"/>
    <w:qFormat/>
    <w:uiPriority w:val="0"/>
    <w:pPr>
      <w:widowControl w:val="0"/>
      <w:overflowPunct/>
      <w:autoSpaceDE/>
      <w:autoSpaceDN/>
      <w:adjustRightInd/>
      <w:spacing w:line="360" w:lineRule="auto"/>
      <w:ind w:firstLine="570"/>
      <w:jc w:val="both"/>
      <w:textAlignment w:val="auto"/>
    </w:pPr>
    <w:rPr>
      <w:rFonts w:ascii="宋体"/>
      <w:kern w:val="2"/>
      <w:sz w:val="24"/>
    </w:rPr>
  </w:style>
  <w:style w:type="paragraph" w:styleId="2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sz w:val="24"/>
      <w:szCs w:val="24"/>
    </w:rPr>
  </w:style>
  <w:style w:type="paragraph" w:styleId="24">
    <w:name w:val="Normal (Web)"/>
    <w:basedOn w:val="1"/>
    <w:qFormat/>
    <w:uiPriority w:val="0"/>
    <w:pPr>
      <w:overflowPunct/>
      <w:autoSpaceDE/>
      <w:autoSpaceDN/>
      <w:adjustRightInd/>
      <w:spacing w:before="100" w:beforeAutospacing="1" w:after="100" w:afterAutospacing="1"/>
      <w:textAlignment w:val="auto"/>
    </w:pPr>
    <w:rPr>
      <w:rFonts w:ascii="宋体" w:hAnsi="宋体"/>
      <w:sz w:val="24"/>
      <w:szCs w:val="24"/>
    </w:rPr>
  </w:style>
  <w:style w:type="paragraph" w:styleId="25">
    <w:name w:val="Title"/>
    <w:basedOn w:val="1"/>
    <w:link w:val="34"/>
    <w:qFormat/>
    <w:uiPriority w:val="0"/>
    <w:pPr>
      <w:widowControl w:val="0"/>
      <w:overflowPunct/>
      <w:autoSpaceDE/>
      <w:autoSpaceDN/>
      <w:snapToGrid w:val="0"/>
      <w:spacing w:line="360" w:lineRule="auto"/>
      <w:jc w:val="center"/>
      <w:textAlignment w:val="auto"/>
      <w:outlineLvl w:val="0"/>
    </w:pPr>
    <w:rPr>
      <w:rFonts w:ascii="楷体" w:hAnsi="楷体" w:eastAsia="楷体" w:cs="楷体"/>
      <w:b/>
      <w:bCs/>
      <w:kern w:val="2"/>
      <w:sz w:val="36"/>
      <w:szCs w:val="36"/>
    </w:rPr>
  </w:style>
  <w:style w:type="paragraph" w:styleId="26">
    <w:name w:val="annotation subject"/>
    <w:basedOn w:val="9"/>
    <w:next w:val="9"/>
    <w:link w:val="88"/>
    <w:qFormat/>
    <w:uiPriority w:val="0"/>
    <w:pPr>
      <w:widowControl/>
      <w:overflowPunct w:val="0"/>
      <w:autoSpaceDE w:val="0"/>
      <w:autoSpaceDN w:val="0"/>
      <w:adjustRightInd w:val="0"/>
      <w:textAlignment w:val="baseline"/>
    </w:pPr>
    <w:rPr>
      <w:b/>
      <w:bCs/>
      <w:kern w:val="0"/>
      <w:sz w:val="20"/>
    </w:rPr>
  </w:style>
  <w:style w:type="table" w:styleId="28">
    <w:name w:val="Table Grid"/>
    <w:basedOn w:val="27"/>
    <w:qFormat/>
    <w:uiPriority w:val="0"/>
    <w:pPr>
      <w:overflowPunct w:val="0"/>
      <w:autoSpaceDE w:val="0"/>
      <w:autoSpaceDN w:val="0"/>
      <w:adjustRightInd w:val="0"/>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Hyperlink"/>
    <w:unhideWhenUsed/>
    <w:qFormat/>
    <w:uiPriority w:val="99"/>
    <w:rPr>
      <w:color w:val="0000FF"/>
      <w:u w:val="single"/>
    </w:rPr>
  </w:style>
  <w:style w:type="character" w:styleId="32">
    <w:name w:val="annotation reference"/>
    <w:semiHidden/>
    <w:qFormat/>
    <w:uiPriority w:val="0"/>
    <w:rPr>
      <w:sz w:val="21"/>
      <w:szCs w:val="21"/>
    </w:rPr>
  </w:style>
  <w:style w:type="character" w:customStyle="1" w:styleId="33">
    <w:name w:val="纯文本 字符"/>
    <w:link w:val="14"/>
    <w:qFormat/>
    <w:uiPriority w:val="0"/>
    <w:rPr>
      <w:rFonts w:ascii="宋体" w:hAnsi="Courier New"/>
      <w:kern w:val="2"/>
      <w:sz w:val="21"/>
    </w:rPr>
  </w:style>
  <w:style w:type="character" w:customStyle="1" w:styleId="34">
    <w:name w:val="标题 字符"/>
    <w:link w:val="25"/>
    <w:qFormat/>
    <w:locked/>
    <w:uiPriority w:val="0"/>
    <w:rPr>
      <w:rFonts w:ascii="楷体" w:hAnsi="楷体" w:eastAsia="楷体" w:cs="楷体"/>
      <w:b/>
      <w:bCs/>
      <w:kern w:val="2"/>
      <w:sz w:val="36"/>
      <w:szCs w:val="36"/>
    </w:rPr>
  </w:style>
  <w:style w:type="character" w:customStyle="1" w:styleId="35">
    <w:name w:val="textindent"/>
    <w:basedOn w:val="29"/>
    <w:qFormat/>
    <w:uiPriority w:val="0"/>
  </w:style>
  <w:style w:type="character" w:customStyle="1" w:styleId="36">
    <w:name w:val="Anchor (A)"/>
    <w:qFormat/>
    <w:uiPriority w:val="0"/>
    <w:rPr>
      <w:color w:val="0000FF"/>
      <w:spacing w:val="0"/>
      <w:sz w:val="24"/>
      <w:u w:val="single"/>
    </w:rPr>
  </w:style>
  <w:style w:type="character" w:customStyle="1" w:styleId="37">
    <w:name w:val="Viewed Anchor (A)"/>
    <w:qFormat/>
    <w:uiPriority w:val="0"/>
    <w:rPr>
      <w:rFonts w:ascii="Times New Roman" w:hAnsi="Times New Roman"/>
      <w:color w:val="800080"/>
      <w:spacing w:val="0"/>
      <w:sz w:val="28"/>
      <w:u w:val="single"/>
    </w:rPr>
  </w:style>
  <w:style w:type="paragraph" w:customStyle="1" w:styleId="38">
    <w:name w:val="±í¸ñÎÄ±¾:1"/>
    <w:basedOn w:val="1"/>
    <w:qFormat/>
    <w:uiPriority w:val="0"/>
    <w:pPr>
      <w:tabs>
        <w:tab w:val="decimal" w:pos="0"/>
        <w:tab w:val="left" w:pos="600"/>
      </w:tabs>
      <w:spacing w:after="140" w:line="360" w:lineRule="auto"/>
    </w:pPr>
    <w:rPr>
      <w:sz w:val="28"/>
    </w:rPr>
  </w:style>
  <w:style w:type="paragraph" w:customStyle="1" w:styleId="39">
    <w:name w:val="±êÌâ 3:1"/>
    <w:basedOn w:val="1"/>
    <w:qFormat/>
    <w:uiPriority w:val="0"/>
    <w:pPr>
      <w:tabs>
        <w:tab w:val="left" w:pos="600"/>
      </w:tabs>
      <w:spacing w:before="140"/>
      <w:jc w:val="both"/>
    </w:pPr>
    <w:rPr>
      <w:b/>
      <w:sz w:val="28"/>
    </w:rPr>
  </w:style>
  <w:style w:type="paragraph" w:customStyle="1" w:styleId="40">
    <w:name w:val="È±Ê¡ÎÄ±¾:1"/>
    <w:basedOn w:val="1"/>
    <w:qFormat/>
    <w:uiPriority w:val="0"/>
    <w:pPr>
      <w:tabs>
        <w:tab w:val="left" w:pos="600"/>
      </w:tabs>
      <w:spacing w:after="140" w:line="360" w:lineRule="auto"/>
      <w:jc w:val="both"/>
    </w:pPr>
    <w:rPr>
      <w:sz w:val="28"/>
    </w:rPr>
  </w:style>
  <w:style w:type="paragraph" w:customStyle="1" w:styleId="41">
    <w:name w:val="table-number"/>
    <w:basedOn w:val="1"/>
    <w:qFormat/>
    <w:uiPriority w:val="0"/>
    <w:pPr>
      <w:tabs>
        <w:tab w:val="left" w:pos="595"/>
      </w:tabs>
      <w:spacing w:before="105"/>
      <w:jc w:val="right"/>
    </w:pPr>
    <w:rPr>
      <w:sz w:val="21"/>
    </w:rPr>
  </w:style>
  <w:style w:type="paragraph" w:customStyle="1" w:styleId="42">
    <w:name w:val="È±Ê¡ÎÄ±¾:2"/>
    <w:basedOn w:val="1"/>
    <w:qFormat/>
    <w:uiPriority w:val="0"/>
    <w:pPr>
      <w:tabs>
        <w:tab w:val="left" w:pos="600"/>
      </w:tabs>
      <w:spacing w:after="140" w:line="360" w:lineRule="auto"/>
      <w:jc w:val="both"/>
    </w:pPr>
    <w:rPr>
      <w:sz w:val="28"/>
    </w:rPr>
  </w:style>
  <w:style w:type="paragraph" w:customStyle="1" w:styleId="43">
    <w:name w:val="±êÌâ 1:1"/>
    <w:basedOn w:val="1"/>
    <w:qFormat/>
    <w:uiPriority w:val="0"/>
    <w:pPr>
      <w:tabs>
        <w:tab w:val="left" w:pos="600"/>
      </w:tabs>
      <w:spacing w:before="280"/>
      <w:jc w:val="both"/>
    </w:pPr>
    <w:rPr>
      <w:rFonts w:ascii="Arial Black" w:hAnsi="Arial Black"/>
      <w:sz w:val="28"/>
    </w:rPr>
  </w:style>
  <w:style w:type="paragraph" w:customStyle="1" w:styleId="44">
    <w:name w:val="ÕýÎÄ:1"/>
    <w:basedOn w:val="1"/>
    <w:qFormat/>
    <w:uiPriority w:val="0"/>
    <w:pPr>
      <w:tabs>
        <w:tab w:val="left" w:pos="600"/>
      </w:tabs>
    </w:pPr>
  </w:style>
  <w:style w:type="paragraph" w:customStyle="1" w:styleId="45">
    <w:name w:val="×Ó±êÌâ3"/>
    <w:basedOn w:val="1"/>
    <w:qFormat/>
    <w:uiPriority w:val="0"/>
    <w:pPr>
      <w:spacing w:after="140" w:line="454" w:lineRule="exact"/>
      <w:jc w:val="both"/>
    </w:pPr>
    <w:rPr>
      <w:rFonts w:ascii="Arial" w:hAnsi="Arial"/>
      <w:sz w:val="28"/>
    </w:rPr>
  </w:style>
  <w:style w:type="paragraph" w:customStyle="1" w:styleId="46">
    <w:name w:val="Outline Numbering"/>
    <w:basedOn w:val="1"/>
    <w:qFormat/>
    <w:uiPriority w:val="0"/>
    <w:pPr>
      <w:tabs>
        <w:tab w:val="left" w:pos="595"/>
      </w:tabs>
      <w:spacing w:before="140"/>
      <w:ind w:left="-383"/>
      <w:jc w:val="both"/>
    </w:pPr>
    <w:rPr>
      <w:sz w:val="28"/>
    </w:rPr>
  </w:style>
  <w:style w:type="paragraph" w:customStyle="1" w:styleId="47">
    <w:name w:val="ÎÄ¼þ±êÌâ:1"/>
    <w:basedOn w:val="1"/>
    <w:qFormat/>
    <w:uiPriority w:val="0"/>
    <w:pPr>
      <w:tabs>
        <w:tab w:val="left" w:pos="600"/>
      </w:tabs>
      <w:spacing w:after="240"/>
      <w:jc w:val="center"/>
    </w:pPr>
    <w:rPr>
      <w:rFonts w:ascii="Arial Black" w:hAnsi="Arial Black"/>
      <w:sz w:val="48"/>
    </w:rPr>
  </w:style>
  <w:style w:type="paragraph" w:customStyle="1" w:styleId="48">
    <w:name w:val="×Ó±êÌâ3-×¢ÊÍ"/>
    <w:basedOn w:val="1"/>
    <w:qFormat/>
    <w:uiPriority w:val="0"/>
    <w:pPr>
      <w:tabs>
        <w:tab w:val="left" w:pos="595"/>
        <w:tab w:val="center" w:pos="2245"/>
        <w:tab w:val="center" w:pos="6497"/>
      </w:tabs>
      <w:spacing w:after="120" w:line="360" w:lineRule="auto"/>
      <w:jc w:val="both"/>
    </w:pPr>
    <w:rPr>
      <w:sz w:val="24"/>
    </w:rPr>
  </w:style>
  <w:style w:type="paragraph" w:customStyle="1" w:styleId="49">
    <w:name w:val="µ¥ÐÐÖ÷ÌåÎÄ±¾:1"/>
    <w:basedOn w:val="1"/>
    <w:qFormat/>
    <w:uiPriority w:val="0"/>
    <w:pPr>
      <w:tabs>
        <w:tab w:val="left" w:pos="600"/>
      </w:tabs>
      <w:spacing w:after="140" w:line="360" w:lineRule="auto"/>
      <w:jc w:val="both"/>
    </w:pPr>
    <w:rPr>
      <w:sz w:val="28"/>
    </w:rPr>
  </w:style>
  <w:style w:type="paragraph" w:customStyle="1" w:styleId="50">
    <w:name w:val="±àºÅÁÐ±í:1"/>
    <w:basedOn w:val="1"/>
    <w:qFormat/>
    <w:uiPriority w:val="0"/>
    <w:pPr>
      <w:tabs>
        <w:tab w:val="left" w:pos="600"/>
      </w:tabs>
      <w:spacing w:after="140" w:line="360" w:lineRule="auto"/>
      <w:jc w:val="both"/>
    </w:pPr>
    <w:rPr>
      <w:sz w:val="28"/>
    </w:rPr>
  </w:style>
  <w:style w:type="paragraph" w:customStyle="1" w:styleId="51">
    <w:name w:val="±êÌâ 2:1"/>
    <w:basedOn w:val="1"/>
    <w:qFormat/>
    <w:uiPriority w:val="0"/>
    <w:pPr>
      <w:tabs>
        <w:tab w:val="left" w:pos="600"/>
      </w:tabs>
      <w:spacing w:before="140"/>
      <w:jc w:val="both"/>
    </w:pPr>
    <w:rPr>
      <w:rFonts w:ascii="Arial" w:hAnsi="Arial"/>
      <w:b/>
      <w:sz w:val="28"/>
    </w:rPr>
  </w:style>
  <w:style w:type="paragraph" w:customStyle="1" w:styleId="52">
    <w:name w:val="ÏîÄ¿·ûºÅ 1:1"/>
    <w:basedOn w:val="1"/>
    <w:qFormat/>
    <w:uiPriority w:val="0"/>
    <w:pPr>
      <w:tabs>
        <w:tab w:val="left" w:pos="600"/>
      </w:tabs>
      <w:spacing w:after="140" w:line="360" w:lineRule="auto"/>
      <w:jc w:val="both"/>
    </w:pPr>
    <w:rPr>
      <w:sz w:val="28"/>
    </w:rPr>
  </w:style>
  <w:style w:type="paragraph" w:customStyle="1" w:styleId="53">
    <w:name w:val="×Ó±êÌâ2"/>
    <w:basedOn w:val="1"/>
    <w:qFormat/>
    <w:uiPriority w:val="0"/>
    <w:pPr>
      <w:spacing w:after="140" w:line="360" w:lineRule="auto"/>
      <w:jc w:val="both"/>
    </w:pPr>
    <w:rPr>
      <w:rFonts w:ascii="Arial" w:hAnsi="Arial"/>
      <w:b/>
      <w:sz w:val="28"/>
    </w:rPr>
  </w:style>
  <w:style w:type="paragraph" w:customStyle="1" w:styleId="54">
    <w:name w:val="_Style 63"/>
    <w:basedOn w:val="1"/>
    <w:qFormat/>
    <w:uiPriority w:val="0"/>
    <w:pPr>
      <w:widowControl w:val="0"/>
      <w:overflowPunct/>
      <w:autoSpaceDE/>
      <w:autoSpaceDN/>
      <w:adjustRightInd/>
      <w:snapToGrid w:val="0"/>
      <w:spacing w:line="360" w:lineRule="auto"/>
      <w:ind w:firstLine="200" w:firstLineChars="200"/>
      <w:jc w:val="both"/>
      <w:textAlignment w:val="auto"/>
    </w:pPr>
    <w:rPr>
      <w:rFonts w:eastAsia="方正仿宋_GB2312"/>
      <w:kern w:val="2"/>
      <w:sz w:val="24"/>
      <w:szCs w:val="24"/>
    </w:rPr>
  </w:style>
  <w:style w:type="paragraph" w:customStyle="1" w:styleId="55">
    <w:name w:val="Ê×ÐÐËõ½ø:1"/>
    <w:basedOn w:val="1"/>
    <w:qFormat/>
    <w:uiPriority w:val="0"/>
    <w:pPr>
      <w:tabs>
        <w:tab w:val="left" w:pos="600"/>
      </w:tabs>
      <w:spacing w:after="140" w:line="360" w:lineRule="auto"/>
      <w:ind w:firstLine="720"/>
      <w:jc w:val="both"/>
    </w:pPr>
    <w:rPr>
      <w:sz w:val="28"/>
    </w:rPr>
  </w:style>
  <w:style w:type="paragraph" w:customStyle="1" w:styleId="56">
    <w:name w:val="´ó¸Ù(Ëõ½ø):1"/>
    <w:basedOn w:val="1"/>
    <w:qFormat/>
    <w:uiPriority w:val="0"/>
    <w:pPr>
      <w:tabs>
        <w:tab w:val="left" w:pos="600"/>
      </w:tabs>
      <w:spacing w:after="140" w:line="360" w:lineRule="auto"/>
      <w:jc w:val="both"/>
    </w:pPr>
    <w:rPr>
      <w:sz w:val="28"/>
    </w:rPr>
  </w:style>
  <w:style w:type="paragraph" w:customStyle="1" w:styleId="57">
    <w:name w:val="Default Text"/>
    <w:basedOn w:val="1"/>
    <w:qFormat/>
    <w:uiPriority w:val="0"/>
    <w:rPr>
      <w:sz w:val="24"/>
    </w:rPr>
  </w:style>
  <w:style w:type="paragraph" w:customStyle="1" w:styleId="58">
    <w:name w:val="ÏîÄ¿·ûºÅ 2:1"/>
    <w:basedOn w:val="1"/>
    <w:qFormat/>
    <w:uiPriority w:val="0"/>
    <w:pPr>
      <w:tabs>
        <w:tab w:val="left" w:pos="600"/>
      </w:tabs>
      <w:spacing w:after="140" w:line="360" w:lineRule="auto"/>
      <w:jc w:val="both"/>
    </w:pPr>
    <w:rPr>
      <w:sz w:val="28"/>
    </w:rPr>
  </w:style>
  <w:style w:type="paragraph" w:customStyle="1" w:styleId="59">
    <w:name w:val="È±Ê¡ÎÄ±¾-×¢ÊÍ"/>
    <w:basedOn w:val="1"/>
    <w:qFormat/>
    <w:uiPriority w:val="0"/>
    <w:pPr>
      <w:tabs>
        <w:tab w:val="left" w:pos="595"/>
        <w:tab w:val="center" w:pos="2245"/>
        <w:tab w:val="center" w:pos="6497"/>
      </w:tabs>
      <w:spacing w:after="120" w:line="360" w:lineRule="auto"/>
      <w:jc w:val="both"/>
    </w:pPr>
    <w:rPr>
      <w:sz w:val="24"/>
    </w:rPr>
  </w:style>
  <w:style w:type="paragraph" w:customStyle="1" w:styleId="60">
    <w:name w:val="´ó¸Ù(Ëõ½ø)"/>
    <w:basedOn w:val="1"/>
    <w:qFormat/>
    <w:uiPriority w:val="0"/>
    <w:rPr>
      <w:sz w:val="24"/>
    </w:rPr>
  </w:style>
  <w:style w:type="paragraph" w:customStyle="1" w:styleId="61">
    <w:name w:val="±¨¸æÎÄ±¾"/>
    <w:basedOn w:val="1"/>
    <w:qFormat/>
    <w:uiPriority w:val="0"/>
    <w:pPr>
      <w:spacing w:before="140" w:after="140" w:line="480" w:lineRule="auto"/>
      <w:ind w:firstLine="560"/>
      <w:jc w:val="both"/>
    </w:pPr>
    <w:rPr>
      <w:sz w:val="28"/>
    </w:rPr>
  </w:style>
  <w:style w:type="paragraph" w:customStyle="1" w:styleId="62">
    <w:name w:val="±í¸ñµ¥ÔªÊý×Ö"/>
    <w:basedOn w:val="1"/>
    <w:qFormat/>
    <w:uiPriority w:val="0"/>
    <w:pPr>
      <w:tabs>
        <w:tab w:val="left" w:pos="595"/>
      </w:tabs>
      <w:spacing w:before="105"/>
      <w:jc w:val="right"/>
    </w:pPr>
    <w:rPr>
      <w:sz w:val="21"/>
    </w:rPr>
  </w:style>
  <w:style w:type="paragraph" w:customStyle="1" w:styleId="63">
    <w:name w:val="Ê×ÐÐËõ½ø"/>
    <w:basedOn w:val="1"/>
    <w:qFormat/>
    <w:uiPriority w:val="0"/>
    <w:pPr>
      <w:ind w:firstLine="720"/>
    </w:pPr>
    <w:rPr>
      <w:sz w:val="24"/>
    </w:rPr>
  </w:style>
  <w:style w:type="paragraph" w:customStyle="1" w:styleId="64">
    <w:name w:val="´ó¸Ù(ÎÞËõ½ø)"/>
    <w:basedOn w:val="1"/>
    <w:qFormat/>
    <w:uiPriority w:val="0"/>
    <w:rPr>
      <w:sz w:val="24"/>
    </w:rPr>
  </w:style>
  <w:style w:type="paragraph" w:customStyle="1" w:styleId="65">
    <w:name w:val="µ¥ÐÐÖ÷ÌåÎÄ±¾"/>
    <w:basedOn w:val="1"/>
    <w:qFormat/>
    <w:uiPriority w:val="0"/>
    <w:rPr>
      <w:sz w:val="24"/>
    </w:rPr>
  </w:style>
  <w:style w:type="paragraph" w:customStyle="1" w:styleId="66">
    <w:name w:val="±¨¸æÎÄ±¾:1"/>
    <w:basedOn w:val="1"/>
    <w:qFormat/>
    <w:uiPriority w:val="0"/>
    <w:pPr>
      <w:tabs>
        <w:tab w:val="left" w:pos="600"/>
      </w:tabs>
      <w:spacing w:before="140" w:after="140" w:line="480" w:lineRule="auto"/>
      <w:ind w:firstLine="560"/>
      <w:jc w:val="both"/>
    </w:pPr>
    <w:rPr>
      <w:sz w:val="28"/>
    </w:rPr>
  </w:style>
  <w:style w:type="paragraph" w:customStyle="1" w:styleId="67">
    <w:name w:val="ÏîÄ¿·ûºÅ 1"/>
    <w:basedOn w:val="1"/>
    <w:qFormat/>
    <w:uiPriority w:val="0"/>
    <w:rPr>
      <w:sz w:val="24"/>
    </w:rPr>
  </w:style>
  <w:style w:type="paragraph" w:customStyle="1" w:styleId="68">
    <w:name w:val="ÎÄ¼þ±êÌâ"/>
    <w:basedOn w:val="1"/>
    <w:qFormat/>
    <w:uiPriority w:val="0"/>
    <w:pPr>
      <w:spacing w:after="240"/>
      <w:jc w:val="center"/>
    </w:pPr>
    <w:rPr>
      <w:rFonts w:ascii="Arial Black" w:hAnsi="Arial Black"/>
      <w:sz w:val="48"/>
    </w:rPr>
  </w:style>
  <w:style w:type="paragraph" w:customStyle="1" w:styleId="69">
    <w:name w:val="正文1"/>
    <w:basedOn w:val="1"/>
    <w:qFormat/>
    <w:uiPriority w:val="0"/>
    <w:pPr>
      <w:tabs>
        <w:tab w:val="left" w:pos="600"/>
      </w:tabs>
      <w:spacing w:line="312" w:lineRule="exact"/>
      <w:jc w:val="both"/>
    </w:pPr>
    <w:rPr>
      <w:rFonts w:ascii="宋体"/>
      <w:sz w:val="21"/>
    </w:rPr>
  </w:style>
  <w:style w:type="paragraph" w:customStyle="1" w:styleId="70">
    <w:name w:val="±í¸ñÎÄ±¾"/>
    <w:basedOn w:val="1"/>
    <w:qFormat/>
    <w:uiPriority w:val="0"/>
    <w:pPr>
      <w:tabs>
        <w:tab w:val="decimal" w:pos="0"/>
      </w:tabs>
    </w:pPr>
    <w:rPr>
      <w:sz w:val="24"/>
    </w:rPr>
  </w:style>
  <w:style w:type="paragraph" w:customStyle="1" w:styleId="71">
    <w:name w:val="±àºÅÁÐ±í"/>
    <w:basedOn w:val="1"/>
    <w:qFormat/>
    <w:uiPriority w:val="0"/>
    <w:rPr>
      <w:sz w:val="24"/>
    </w:rPr>
  </w:style>
  <w:style w:type="paragraph" w:customStyle="1" w:styleId="72">
    <w:name w:val="TABLE"/>
    <w:basedOn w:val="1"/>
    <w:qFormat/>
    <w:uiPriority w:val="0"/>
    <w:pPr>
      <w:tabs>
        <w:tab w:val="left" w:pos="600"/>
      </w:tabs>
    </w:pPr>
    <w:rPr>
      <w:sz w:val="24"/>
    </w:rPr>
  </w:style>
  <w:style w:type="paragraph" w:customStyle="1" w:styleId="73">
    <w:name w:val="È±Ê¡ÎÄ±¾"/>
    <w:basedOn w:val="1"/>
    <w:qFormat/>
    <w:uiPriority w:val="0"/>
    <w:rPr>
      <w:sz w:val="24"/>
    </w:rPr>
  </w:style>
  <w:style w:type="paragraph" w:customStyle="1" w:styleId="74">
    <w:name w:val="ÏîÄ¿·ûºÅ 2"/>
    <w:basedOn w:val="1"/>
    <w:qFormat/>
    <w:uiPriority w:val="0"/>
    <w:rPr>
      <w:sz w:val="24"/>
    </w:rPr>
  </w:style>
  <w:style w:type="paragraph" w:styleId="75">
    <w:name w:val="List Paragraph"/>
    <w:basedOn w:val="1"/>
    <w:qFormat/>
    <w:uiPriority w:val="34"/>
    <w:pPr>
      <w:widowControl w:val="0"/>
      <w:overflowPunct/>
      <w:autoSpaceDE/>
      <w:autoSpaceDN/>
      <w:adjustRightInd/>
      <w:ind w:firstLine="420" w:firstLineChars="200"/>
      <w:jc w:val="both"/>
      <w:textAlignment w:val="auto"/>
    </w:pPr>
    <w:rPr>
      <w:rFonts w:ascii="Calibri" w:hAnsi="Calibri"/>
      <w:kern w:val="2"/>
      <w:sz w:val="21"/>
      <w:szCs w:val="22"/>
    </w:rPr>
  </w:style>
  <w:style w:type="paragraph" w:customStyle="1" w:styleId="76">
    <w:name w:val="Default Text:1"/>
    <w:basedOn w:val="1"/>
    <w:qFormat/>
    <w:uiPriority w:val="0"/>
    <w:pPr>
      <w:tabs>
        <w:tab w:val="left" w:pos="600"/>
      </w:tabs>
    </w:pPr>
    <w:rPr>
      <w:sz w:val="24"/>
    </w:rPr>
  </w:style>
  <w:style w:type="paragraph" w:customStyle="1" w:styleId="77">
    <w:name w:val="´ó¸Ù(ÎÞËõ½ø):1"/>
    <w:basedOn w:val="1"/>
    <w:qFormat/>
    <w:uiPriority w:val="0"/>
    <w:pPr>
      <w:tabs>
        <w:tab w:val="left" w:pos="600"/>
      </w:tabs>
      <w:spacing w:after="140" w:line="360" w:lineRule="auto"/>
      <w:jc w:val="both"/>
    </w:pPr>
    <w:rPr>
      <w:sz w:val="28"/>
    </w:rPr>
  </w:style>
  <w:style w:type="paragraph" w:customStyle="1" w:styleId="78">
    <w:name w:val="×Ó±êÌâ1"/>
    <w:basedOn w:val="1"/>
    <w:qFormat/>
    <w:uiPriority w:val="0"/>
    <w:pPr>
      <w:spacing w:after="140" w:line="360" w:lineRule="auto"/>
      <w:jc w:val="both"/>
    </w:pPr>
    <w:rPr>
      <w:rFonts w:ascii="Arial Black" w:hAnsi="Arial Black"/>
      <w:b/>
      <w:sz w:val="28"/>
    </w:rPr>
  </w:style>
  <w:style w:type="paragraph" w:customStyle="1" w:styleId="79">
    <w:name w:val="ÐòºÅA"/>
    <w:basedOn w:val="1"/>
    <w:qFormat/>
    <w:uiPriority w:val="0"/>
    <w:pPr>
      <w:tabs>
        <w:tab w:val="left" w:pos="595"/>
        <w:tab w:val="center" w:pos="2245"/>
        <w:tab w:val="center" w:pos="6497"/>
      </w:tabs>
      <w:spacing w:after="120" w:line="360" w:lineRule="auto"/>
      <w:ind w:left="-383"/>
      <w:jc w:val="both"/>
    </w:pPr>
    <w:rPr>
      <w:sz w:val="24"/>
    </w:rPr>
  </w:style>
  <w:style w:type="paragraph" w:customStyle="1" w:styleId="80">
    <w:name w:val="表格单元数字"/>
    <w:basedOn w:val="1"/>
    <w:qFormat/>
    <w:uiPriority w:val="0"/>
    <w:pPr>
      <w:widowControl w:val="0"/>
      <w:tabs>
        <w:tab w:val="left" w:pos="595"/>
      </w:tabs>
      <w:overflowPunct/>
      <w:spacing w:before="105"/>
      <w:jc w:val="right"/>
      <w:textAlignment w:val="auto"/>
    </w:pPr>
    <w:rPr>
      <w:sz w:val="21"/>
      <w:szCs w:val="21"/>
    </w:rPr>
  </w:style>
  <w:style w:type="paragraph" w:customStyle="1" w:styleId="81">
    <w:name w:val="缺省文本"/>
    <w:basedOn w:val="1"/>
    <w:qFormat/>
    <w:uiPriority w:val="0"/>
    <w:pPr>
      <w:widowControl w:val="0"/>
      <w:tabs>
        <w:tab w:val="left" w:pos="600"/>
      </w:tabs>
      <w:overflowPunct/>
      <w:spacing w:after="140" w:line="360" w:lineRule="auto"/>
      <w:jc w:val="both"/>
      <w:textAlignment w:val="auto"/>
    </w:pPr>
    <w:rPr>
      <w:sz w:val="28"/>
      <w:szCs w:val="28"/>
    </w:rPr>
  </w:style>
  <w:style w:type="paragraph" w:customStyle="1" w:styleId="82">
    <w:name w:val="子标题3-注释"/>
    <w:basedOn w:val="1"/>
    <w:qFormat/>
    <w:uiPriority w:val="0"/>
    <w:pPr>
      <w:widowControl w:val="0"/>
      <w:tabs>
        <w:tab w:val="left" w:pos="595"/>
        <w:tab w:val="center" w:pos="2245"/>
        <w:tab w:val="center" w:pos="6497"/>
      </w:tabs>
      <w:overflowPunct/>
      <w:spacing w:after="120" w:line="360" w:lineRule="auto"/>
      <w:ind w:firstLine="595"/>
      <w:jc w:val="both"/>
      <w:textAlignment w:val="auto"/>
    </w:pPr>
    <w:rPr>
      <w:sz w:val="24"/>
      <w:szCs w:val="24"/>
    </w:rPr>
  </w:style>
  <w:style w:type="paragraph" w:customStyle="1" w:styleId="83">
    <w:name w:val="p0"/>
    <w:basedOn w:val="1"/>
    <w:qFormat/>
    <w:uiPriority w:val="0"/>
    <w:pPr>
      <w:overflowPunct/>
      <w:autoSpaceDE/>
      <w:autoSpaceDN/>
      <w:adjustRightInd/>
      <w:jc w:val="both"/>
      <w:textAlignment w:val="auto"/>
    </w:pPr>
    <w:rPr>
      <w:sz w:val="21"/>
      <w:szCs w:val="21"/>
    </w:rPr>
  </w:style>
  <w:style w:type="paragraph" w:customStyle="1" w:styleId="84">
    <w:name w:val="Char1"/>
    <w:basedOn w:val="1"/>
    <w:qFormat/>
    <w:uiPriority w:val="0"/>
    <w:pPr>
      <w:widowControl w:val="0"/>
      <w:overflowPunct/>
      <w:autoSpaceDE/>
      <w:autoSpaceDN/>
      <w:adjustRightInd/>
      <w:snapToGrid w:val="0"/>
      <w:spacing w:line="360" w:lineRule="auto"/>
      <w:ind w:firstLine="200" w:firstLineChars="200"/>
      <w:jc w:val="both"/>
      <w:textAlignment w:val="auto"/>
    </w:pPr>
    <w:rPr>
      <w:rFonts w:eastAsia="方正仿宋_GB2312"/>
      <w:kern w:val="2"/>
      <w:sz w:val="24"/>
      <w:szCs w:val="24"/>
    </w:rPr>
  </w:style>
  <w:style w:type="paragraph" w:customStyle="1" w:styleId="85">
    <w:name w:val="p15"/>
    <w:basedOn w:val="1"/>
    <w:qFormat/>
    <w:uiPriority w:val="0"/>
    <w:pPr>
      <w:overflowPunct/>
      <w:autoSpaceDE/>
      <w:autoSpaceDN/>
      <w:adjustRightInd/>
      <w:jc w:val="both"/>
      <w:textAlignment w:val="auto"/>
    </w:pPr>
    <w:rPr>
      <w:sz w:val="21"/>
      <w:szCs w:val="21"/>
    </w:rPr>
  </w:style>
  <w:style w:type="character" w:customStyle="1" w:styleId="86">
    <w:name w:val="ca-0"/>
    <w:qFormat/>
    <w:uiPriority w:val="0"/>
  </w:style>
  <w:style w:type="character" w:customStyle="1" w:styleId="87">
    <w:name w:val="批注文字 字符"/>
    <w:basedOn w:val="29"/>
    <w:link w:val="9"/>
    <w:semiHidden/>
    <w:qFormat/>
    <w:uiPriority w:val="0"/>
    <w:rPr>
      <w:kern w:val="2"/>
      <w:sz w:val="21"/>
    </w:rPr>
  </w:style>
  <w:style w:type="character" w:customStyle="1" w:styleId="88">
    <w:name w:val="批注主题 字符"/>
    <w:basedOn w:val="87"/>
    <w:link w:val="26"/>
    <w:qFormat/>
    <w:uiPriority w:val="0"/>
    <w:rPr>
      <w:b/>
      <w:bCs/>
      <w:kern w:val="2"/>
      <w:sz w:val="21"/>
    </w:rPr>
  </w:style>
  <w:style w:type="paragraph" w:customStyle="1" w:styleId="89">
    <w:name w:val="è±ê¡ÎÄ±¾"/>
    <w:basedOn w:val="1"/>
    <w:unhideWhenUsed/>
    <w:qFormat/>
    <w:uiPriority w:val="0"/>
    <w:rPr>
      <w:sz w:val="24"/>
      <w:szCs w:val="24"/>
    </w:rPr>
  </w:style>
  <w:style w:type="paragraph" w:customStyle="1" w:styleId="90">
    <w:name w:val="Char Char Char Char"/>
    <w:basedOn w:val="1"/>
    <w:qFormat/>
    <w:uiPriority w:val="0"/>
    <w:pPr>
      <w:widowControl w:val="0"/>
      <w:overflowPunct/>
      <w:autoSpaceDE/>
      <w:autoSpaceDN/>
      <w:adjustRightInd/>
      <w:jc w:val="both"/>
      <w:textAlignment w:val="auto"/>
    </w:pPr>
    <w:rPr>
      <w:kern w:val="2"/>
      <w:sz w:val="21"/>
    </w:rPr>
  </w:style>
  <w:style w:type="character" w:customStyle="1" w:styleId="91">
    <w:name w:val="页脚 字符"/>
    <w:basedOn w:val="29"/>
    <w:link w:val="18"/>
    <w:qFormat/>
    <w:uiPriority w:val="99"/>
    <w:rPr>
      <w:rFonts w:asciiTheme="minorEastAsia" w:hAnsiTheme="minorEastAsia" w:eastAsiaTheme="minorEastAsia" w:cstheme="minorEastAsia"/>
      <w:iCs/>
      <w:w w:val="90"/>
      <w:sz w:val="21"/>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12032</Words>
  <Characters>13644</Characters>
  <Lines>2650</Lines>
  <Paragraphs>2893</Paragraphs>
  <TotalTime>10</TotalTime>
  <ScaleCrop>false</ScaleCrop>
  <LinksUpToDate>false</LinksUpToDate>
  <CharactersWithSpaces>13767</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2025-09-01T09:30:00Z</dcterms:created>
  <dc:creator>王海源</dc:creator>
  <cp:lastModifiedBy>kylin</cp:lastModifiedBy>
  <cp:lastPrinted>2024-07-18T11:02:00Z</cp:lastPrinted>
  <dcterms:modified xsi:type="dcterms:W3CDTF">2025-12-24T16:02:09Z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263E64E68CB542FBAB36D691CC56F2AD_13</vt:lpwstr>
  </property>
  <property fmtid="{D5CDD505-2E9C-101B-9397-08002B2CF9AE}" pid="4" name="KSOTemplateDocerSaveRecord">
    <vt:lpwstr>eyJoZGlkIjoiYWFmZDI5MjQ4ZjEwZDhlZWIwMTA3NjczMWM4OTFhMzciLCJ1c2VySWQiOiI0MDM4NDU4MzMifQ==</vt:lpwstr>
  </property>
</Properties>
</file>