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195"/>
        <w:jc w:val="center"/>
        <w:textAlignment w:val="auto"/>
        <w:rPr>
          <w:rFonts w:hint="eastAsia" w:ascii="黑体" w:hAnsi="黑体" w:eastAsia="黑体" w:cs="黑体"/>
          <w:i w:val="0"/>
          <w:iCs w:val="0"/>
          <w:caps w:val="0"/>
          <w:color w:val="666666"/>
          <w:spacing w:val="0"/>
          <w:sz w:val="44"/>
          <w:szCs w:val="44"/>
          <w:shd w:val="clear" w:fill="FFFFFF"/>
          <w:lang w:val="en-US" w:eastAsia="zh-CN"/>
        </w:rPr>
      </w:pPr>
      <w:r>
        <w:rPr>
          <w:rFonts w:hint="eastAsia" w:ascii="黑体" w:hAnsi="黑体" w:eastAsia="黑体" w:cs="黑体"/>
          <w:i w:val="0"/>
          <w:iCs w:val="0"/>
          <w:caps w:val="0"/>
          <w:color w:val="666666"/>
          <w:spacing w:val="0"/>
          <w:sz w:val="44"/>
          <w:szCs w:val="44"/>
          <w:shd w:val="clear" w:fill="FFFFFF"/>
          <w:lang w:val="en-US" w:eastAsia="zh-CN"/>
        </w:rPr>
        <w:t>随机抽查事项清单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990"/>
        <w:gridCol w:w="4995"/>
        <w:gridCol w:w="1860"/>
        <w:gridCol w:w="1995"/>
        <w:gridCol w:w="2595"/>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jc w:val="center"/>
        </w:trPr>
        <w:tc>
          <w:tcPr>
            <w:tcW w:w="990" w:type="dxa"/>
            <w:vAlign w:val="center"/>
          </w:tcPr>
          <w:p>
            <w:pPr>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序号</w:t>
            </w:r>
          </w:p>
        </w:tc>
        <w:tc>
          <w:tcPr>
            <w:tcW w:w="4995" w:type="dxa"/>
            <w:vAlign w:val="center"/>
          </w:tcPr>
          <w:p>
            <w:pPr>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抽查依据</w:t>
            </w:r>
          </w:p>
        </w:tc>
        <w:tc>
          <w:tcPr>
            <w:tcW w:w="1860" w:type="dxa"/>
            <w:vAlign w:val="center"/>
          </w:tcPr>
          <w:p>
            <w:pPr>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抽查主体</w:t>
            </w:r>
          </w:p>
        </w:tc>
        <w:tc>
          <w:tcPr>
            <w:tcW w:w="1995" w:type="dxa"/>
            <w:vAlign w:val="center"/>
          </w:tcPr>
          <w:p>
            <w:pPr>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事项名称</w:t>
            </w:r>
          </w:p>
        </w:tc>
        <w:tc>
          <w:tcPr>
            <w:tcW w:w="2595" w:type="dxa"/>
            <w:vAlign w:val="center"/>
          </w:tcPr>
          <w:p>
            <w:pPr>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抽查内容</w:t>
            </w:r>
          </w:p>
        </w:tc>
        <w:tc>
          <w:tcPr>
            <w:tcW w:w="1290" w:type="dxa"/>
            <w:vAlign w:val="center"/>
          </w:tcPr>
          <w:p>
            <w:pPr>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750" w:hRule="atLeast"/>
          <w:jc w:val="center"/>
        </w:trPr>
        <w:tc>
          <w:tcPr>
            <w:tcW w:w="990"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w:t>
            </w:r>
          </w:p>
        </w:tc>
        <w:tc>
          <w:tcPr>
            <w:tcW w:w="49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《成品油市场管理办法》（商务部令2006年第23号）第三十条 各级人民政府商务主管部门应当加强对本辖区成品油市场的监督检查，及时对成品油经营企业的违法违规行为进行查处。</w:t>
            </w:r>
          </w:p>
        </w:tc>
        <w:tc>
          <w:tcPr>
            <w:tcW w:w="1860"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aps w:val="0"/>
                <w:color w:val="000000"/>
                <w:spacing w:val="0"/>
                <w:sz w:val="24"/>
                <w:szCs w:val="24"/>
                <w:shd w:val="clear" w:fill="FFFFFF"/>
              </w:rPr>
              <w:t>对成品油经营企业进行查处</w:t>
            </w:r>
          </w:p>
        </w:tc>
        <w:tc>
          <w:tcPr>
            <w:tcW w:w="1995"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aps w:val="0"/>
                <w:color w:val="000000"/>
                <w:spacing w:val="0"/>
                <w:sz w:val="24"/>
                <w:szCs w:val="24"/>
                <w:shd w:val="clear" w:fill="FFFFFF"/>
                <w:lang w:val="en-US" w:eastAsia="zh-CN"/>
              </w:rPr>
              <w:t>企业日常经营情况</w:t>
            </w:r>
          </w:p>
        </w:tc>
        <w:tc>
          <w:tcPr>
            <w:tcW w:w="25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依法对成品油零售经营企业在安全、环保、质量、计量等方面是否存在违法违规行为</w:t>
            </w:r>
          </w:p>
        </w:tc>
        <w:tc>
          <w:tcPr>
            <w:tcW w:w="1290"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随机抽查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591" w:hRule="atLeast"/>
          <w:jc w:val="center"/>
        </w:trPr>
        <w:tc>
          <w:tcPr>
            <w:tcW w:w="990"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w:t>
            </w:r>
          </w:p>
        </w:tc>
        <w:tc>
          <w:tcPr>
            <w:tcW w:w="49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《零售商供应商公平</w:t>
            </w:r>
            <w:bookmarkStart w:id="0" w:name="_GoBack"/>
            <w:bookmarkEnd w:id="0"/>
            <w:r>
              <w:rPr>
                <w:rFonts w:hint="eastAsia" w:ascii="仿宋" w:hAnsi="仿宋" w:eastAsia="仿宋" w:cs="仿宋"/>
                <w:i w:val="0"/>
                <w:iCs w:val="0"/>
                <w:caps w:val="0"/>
                <w:color w:val="000000"/>
                <w:spacing w:val="0"/>
                <w:sz w:val="24"/>
                <w:szCs w:val="24"/>
                <w:shd w:val="clear" w:fill="FFFFFF"/>
              </w:rPr>
              <w:t>交易管理办法》第六条、第七条、第八条、第九条</w:t>
            </w:r>
          </w:p>
        </w:tc>
        <w:tc>
          <w:tcPr>
            <w:tcW w:w="1860"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零供关系检查</w:t>
            </w:r>
          </w:p>
        </w:tc>
        <w:tc>
          <w:tcPr>
            <w:tcW w:w="19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零售商供应商公平交易行为检查</w:t>
            </w:r>
          </w:p>
        </w:tc>
        <w:tc>
          <w:tcPr>
            <w:tcW w:w="25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检查零售商是否利用优势地位从事不公平交易，存在妨碍公平竞争行为</w:t>
            </w:r>
          </w:p>
        </w:tc>
        <w:tc>
          <w:tcPr>
            <w:tcW w:w="1290" w:type="dxa"/>
            <w:vAlign w:val="center"/>
          </w:tcPr>
          <w:p>
            <w:pPr>
              <w:jc w:val="center"/>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随机抽查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196" w:hRule="atLeast"/>
          <w:jc w:val="center"/>
        </w:trPr>
        <w:tc>
          <w:tcPr>
            <w:tcW w:w="990"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3</w:t>
            </w:r>
          </w:p>
        </w:tc>
        <w:tc>
          <w:tcPr>
            <w:tcW w:w="49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《零售商供应商公平交易管理办法》第十条、第十一条、第十二条、第十三条</w:t>
            </w:r>
          </w:p>
        </w:tc>
        <w:tc>
          <w:tcPr>
            <w:tcW w:w="1860"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零供关系检查</w:t>
            </w:r>
          </w:p>
        </w:tc>
        <w:tc>
          <w:tcPr>
            <w:tcW w:w="19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零售商向供应商收费检查</w:t>
            </w:r>
          </w:p>
        </w:tc>
        <w:tc>
          <w:tcPr>
            <w:tcW w:w="25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检查零售商是否向供应商违规收费，是否按规定纳税</w:t>
            </w:r>
          </w:p>
        </w:tc>
        <w:tc>
          <w:tcPr>
            <w:tcW w:w="1290" w:type="dxa"/>
            <w:vAlign w:val="center"/>
          </w:tcPr>
          <w:p>
            <w:pPr>
              <w:jc w:val="center"/>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随机抽查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136" w:hRule="atLeast"/>
          <w:jc w:val="center"/>
        </w:trPr>
        <w:tc>
          <w:tcPr>
            <w:tcW w:w="990"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4</w:t>
            </w:r>
          </w:p>
        </w:tc>
        <w:tc>
          <w:tcPr>
            <w:tcW w:w="49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《零售商供应商公平交易管理办法》第十五条、第十六条、第十七条、第十八条</w:t>
            </w:r>
          </w:p>
        </w:tc>
        <w:tc>
          <w:tcPr>
            <w:tcW w:w="1860"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零供关系检查</w:t>
            </w:r>
          </w:p>
        </w:tc>
        <w:tc>
          <w:tcPr>
            <w:tcW w:w="19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零售商供应商有关经营活动检查</w:t>
            </w:r>
          </w:p>
        </w:tc>
        <w:tc>
          <w:tcPr>
            <w:tcW w:w="25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检查零售商供应商是否按规定结算贷款和供货</w:t>
            </w:r>
          </w:p>
        </w:tc>
        <w:tc>
          <w:tcPr>
            <w:tcW w:w="1290" w:type="dxa"/>
            <w:vAlign w:val="center"/>
          </w:tcPr>
          <w:p>
            <w:pPr>
              <w:jc w:val="center"/>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随机抽查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16" w:hRule="atLeast"/>
          <w:jc w:val="center"/>
        </w:trPr>
        <w:tc>
          <w:tcPr>
            <w:tcW w:w="990"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5</w:t>
            </w:r>
          </w:p>
        </w:tc>
        <w:tc>
          <w:tcPr>
            <w:tcW w:w="49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根据《典当管理办法》及相关检查通知</w:t>
            </w:r>
          </w:p>
        </w:tc>
        <w:tc>
          <w:tcPr>
            <w:tcW w:w="1860"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合规经营检查</w:t>
            </w:r>
          </w:p>
        </w:tc>
        <w:tc>
          <w:tcPr>
            <w:tcW w:w="19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企业日常经营情况</w:t>
            </w:r>
          </w:p>
        </w:tc>
        <w:tc>
          <w:tcPr>
            <w:tcW w:w="2595" w:type="dxa"/>
            <w:vAlign w:val="center"/>
          </w:tcPr>
          <w:p>
            <w:pPr>
              <w:jc w:val="center"/>
              <w:rPr>
                <w:rFonts w:hint="eastAsia" w:ascii="仿宋" w:hAnsi="仿宋" w:eastAsia="仿宋" w:cs="仿宋"/>
                <w:sz w:val="24"/>
                <w:szCs w:val="24"/>
                <w:vertAlign w:val="baseline"/>
              </w:rPr>
            </w:pPr>
            <w:r>
              <w:rPr>
                <w:rFonts w:hint="eastAsia" w:ascii="仿宋" w:hAnsi="仿宋" w:eastAsia="仿宋" w:cs="仿宋"/>
                <w:i w:val="0"/>
                <w:iCs w:val="0"/>
                <w:caps w:val="0"/>
                <w:color w:val="000000"/>
                <w:spacing w:val="0"/>
                <w:sz w:val="24"/>
                <w:szCs w:val="24"/>
                <w:shd w:val="clear" w:fill="FFFFFF"/>
              </w:rPr>
              <w:t>检查企业日常经营活动手续、资料、程序是否合规合法</w:t>
            </w:r>
          </w:p>
        </w:tc>
        <w:tc>
          <w:tcPr>
            <w:tcW w:w="1290" w:type="dxa"/>
            <w:vAlign w:val="center"/>
          </w:tcPr>
          <w:p>
            <w:pPr>
              <w:jc w:val="center"/>
              <w:rPr>
                <w:rFonts w:hint="eastAsia" w:ascii="仿宋" w:hAnsi="仿宋" w:eastAsia="仿宋" w:cs="仿宋"/>
                <w:sz w:val="24"/>
                <w:szCs w:val="24"/>
                <w:vertAlign w:val="baseline"/>
              </w:rPr>
            </w:pPr>
            <w:r>
              <w:rPr>
                <w:rFonts w:hint="eastAsia" w:ascii="仿宋" w:hAnsi="仿宋" w:eastAsia="仿宋" w:cs="仿宋"/>
                <w:sz w:val="24"/>
                <w:szCs w:val="24"/>
                <w:vertAlign w:val="baseline"/>
                <w:lang w:val="en-US" w:eastAsia="zh-CN"/>
              </w:rPr>
              <w:t>随机抽查</w:t>
            </w:r>
          </w:p>
        </w:tc>
      </w:tr>
    </w:tbl>
    <w:p>
      <w:pPr>
        <w:rPr>
          <w:rFonts w:hint="eastAsia" w:ascii="仿宋" w:hAnsi="仿宋" w:eastAsia="仿宋" w:cs="仿宋"/>
          <w:sz w:val="32"/>
          <w:szCs w:val="3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0E55B0"/>
    <w:rsid w:val="330E5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2021-09-30T02:29:00Z</dcterms:created>
  <dc:creator>lx</dc:creator>
  <cp:lastModifiedBy>lx</cp:lastModifiedBy>
  <dcterms:modified xsi:type="dcterms:W3CDTF">2021-09-30T02:48:26Z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01D8D6ED8C0B4E28863B893038B06E63</vt:lpwstr>
  </property>
</Properties>
</file>