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453AC7">
      <w:pPr>
        <w:keepNext w:val="0"/>
        <w:keepLines w:val="0"/>
        <w:pageBreakBefore w:val="0"/>
        <w:widowControl w:val="0"/>
        <w:kinsoku/>
        <w:wordWrap/>
        <w:overflowPunct/>
        <w:topLinePunct w:val="0"/>
        <w:autoSpaceDE/>
        <w:autoSpaceDN/>
        <w:bidi w:val="0"/>
        <w:adjustRightInd/>
        <w:snapToGrid/>
        <w:spacing w:line="720" w:lineRule="exact"/>
        <w:jc w:val="right"/>
        <w:textAlignment w:val="auto"/>
        <w:rPr>
          <w:rFonts w:hint="eastAsia" w:ascii="楷体" w:hAnsi="楷体" w:eastAsia="楷体" w:cs="楷体"/>
          <w:b w:val="0"/>
          <w:bCs w:val="0"/>
          <w:kern w:val="2"/>
          <w:sz w:val="32"/>
          <w:szCs w:val="32"/>
        </w:rPr>
      </w:pPr>
    </w:p>
    <w:p w14:paraId="30E81360">
      <w:pPr>
        <w:keepNext w:val="0"/>
        <w:keepLines w:val="0"/>
        <w:pageBreakBefore w:val="0"/>
        <w:widowControl w:val="0"/>
        <w:kinsoku/>
        <w:wordWrap/>
        <w:overflowPunct/>
        <w:topLinePunct w:val="0"/>
        <w:autoSpaceDE/>
        <w:autoSpaceDN/>
        <w:bidi w:val="0"/>
        <w:adjustRightInd/>
        <w:snapToGrid/>
        <w:spacing w:line="720" w:lineRule="exact"/>
        <w:jc w:val="right"/>
        <w:textAlignment w:val="auto"/>
        <w:rPr>
          <w:rFonts w:hint="eastAsia" w:ascii="楷体" w:hAnsi="楷体" w:eastAsia="楷体" w:cs="楷体"/>
          <w:b w:val="0"/>
          <w:bCs w:val="0"/>
          <w:kern w:val="2"/>
          <w:sz w:val="32"/>
          <w:szCs w:val="32"/>
        </w:rPr>
      </w:pPr>
    </w:p>
    <w:p w14:paraId="083BA222">
      <w:pPr>
        <w:keepNext w:val="0"/>
        <w:keepLines w:val="0"/>
        <w:pageBreakBefore w:val="0"/>
        <w:widowControl w:val="0"/>
        <w:kinsoku/>
        <w:wordWrap/>
        <w:overflowPunct/>
        <w:topLinePunct w:val="0"/>
        <w:autoSpaceDE/>
        <w:autoSpaceDN/>
        <w:bidi w:val="0"/>
        <w:adjustRightInd/>
        <w:snapToGrid/>
        <w:spacing w:line="720" w:lineRule="exact"/>
        <w:jc w:val="right"/>
        <w:textAlignment w:val="auto"/>
        <w:rPr>
          <w:rFonts w:hint="eastAsia" w:ascii="国标楷体" w:hAnsi="国标楷体" w:eastAsia="国标楷体" w:cs="国标楷体"/>
          <w:b w:val="0"/>
          <w:bCs w:val="0"/>
          <w:color w:val="auto"/>
          <w:kern w:val="2"/>
          <w:sz w:val="32"/>
          <w:szCs w:val="32"/>
          <w:highlight w:val="none"/>
        </w:rPr>
      </w:pPr>
      <w:r>
        <w:rPr>
          <w:rFonts w:hint="eastAsia" w:ascii="楷体" w:hAnsi="楷体" w:eastAsia="楷体" w:cs="楷体"/>
          <w:b w:val="0"/>
          <w:bCs w:val="0"/>
          <w:color w:val="auto"/>
          <w:kern w:val="2"/>
          <w:sz w:val="32"/>
          <w:szCs w:val="32"/>
          <w:highlight w:val="none"/>
        </w:rPr>
        <w:t>卫环海原分局函〔202</w:t>
      </w:r>
      <w:r>
        <w:rPr>
          <w:rFonts w:hint="eastAsia" w:ascii="楷体" w:hAnsi="楷体" w:eastAsia="楷体" w:cs="楷体"/>
          <w:b w:val="0"/>
          <w:bCs w:val="0"/>
          <w:color w:val="auto"/>
          <w:kern w:val="2"/>
          <w:sz w:val="32"/>
          <w:szCs w:val="32"/>
          <w:highlight w:val="none"/>
          <w:lang w:val="en-US" w:eastAsia="zh-CN"/>
        </w:rPr>
        <w:t>6</w:t>
      </w:r>
      <w:r>
        <w:rPr>
          <w:rFonts w:hint="eastAsia" w:ascii="楷体" w:hAnsi="楷体" w:eastAsia="楷体" w:cs="楷体"/>
          <w:b w:val="0"/>
          <w:bCs w:val="0"/>
          <w:color w:val="auto"/>
          <w:kern w:val="2"/>
          <w:sz w:val="32"/>
          <w:szCs w:val="32"/>
          <w:highlight w:val="none"/>
        </w:rPr>
        <w:t>〕</w:t>
      </w:r>
      <w:r>
        <w:rPr>
          <w:rFonts w:hint="eastAsia" w:ascii="楷体" w:hAnsi="楷体" w:eastAsia="楷体" w:cs="楷体"/>
          <w:b w:val="0"/>
          <w:bCs w:val="0"/>
          <w:color w:val="auto"/>
          <w:kern w:val="2"/>
          <w:sz w:val="32"/>
          <w:szCs w:val="32"/>
          <w:highlight w:val="none"/>
          <w:lang w:val="en-US" w:eastAsia="zh-CN"/>
        </w:rPr>
        <w:t>12</w:t>
      </w:r>
      <w:r>
        <w:rPr>
          <w:rFonts w:hint="eastAsia" w:ascii="楷体" w:hAnsi="楷体" w:eastAsia="楷体" w:cs="楷体"/>
          <w:b w:val="0"/>
          <w:bCs w:val="0"/>
          <w:color w:val="auto"/>
          <w:kern w:val="2"/>
          <w:sz w:val="32"/>
          <w:szCs w:val="32"/>
          <w:highlight w:val="none"/>
        </w:rPr>
        <w:t>号</w:t>
      </w:r>
    </w:p>
    <w:p w14:paraId="086D11DE">
      <w:pPr>
        <w:pStyle w:val="13"/>
        <w:keepNext w:val="0"/>
        <w:keepLines w:val="0"/>
        <w:pageBreakBefore w:val="0"/>
        <w:widowControl w:val="0"/>
        <w:kinsoku/>
        <w:wordWrap/>
        <w:overflowPunct/>
        <w:topLinePunct w:val="0"/>
        <w:autoSpaceDE/>
        <w:autoSpaceDN/>
        <w:bidi w:val="0"/>
        <w:adjustRightInd/>
        <w:snapToGrid/>
        <w:ind w:firstLine="1134"/>
        <w:textAlignment w:val="auto"/>
        <w:rPr>
          <w:rFonts w:hint="eastAsia"/>
          <w:color w:val="auto"/>
          <w:sz w:val="24"/>
          <w:szCs w:val="24"/>
        </w:rPr>
      </w:pPr>
    </w:p>
    <w:p w14:paraId="70D69C05">
      <w:pPr>
        <w:keepNext w:val="0"/>
        <w:keepLines w:val="0"/>
        <w:pageBreakBefore w:val="0"/>
        <w:widowControl/>
        <w:kinsoku/>
        <w:wordWrap/>
        <w:overflowPunct/>
        <w:topLinePunct w:val="0"/>
        <w:autoSpaceDE/>
        <w:autoSpaceDN/>
        <w:bidi w:val="0"/>
        <w:adjustRightInd/>
        <w:snapToGrid/>
        <w:spacing w:line="600" w:lineRule="exact"/>
        <w:jc w:val="center"/>
        <w:textAlignment w:val="center"/>
        <w:rPr>
          <w:rFonts w:hint="eastAsia" w:ascii="方正小标宋_GBK" w:hAnsi="方正小标宋_GBK" w:eastAsia="方正小标宋_GBK" w:cs="方正小标宋_GBK"/>
          <w:b w:val="0"/>
          <w:bCs w:val="0"/>
          <w:color w:val="auto"/>
          <w:kern w:val="2"/>
          <w:sz w:val="44"/>
          <w:szCs w:val="44"/>
          <w:lang w:val="en-US" w:eastAsia="zh-CN"/>
        </w:rPr>
      </w:pPr>
      <w:r>
        <w:rPr>
          <w:rFonts w:hint="eastAsia" w:ascii="方正小标宋_GBK" w:hAnsi="方正小标宋_GBK" w:eastAsia="方正小标宋_GBK" w:cs="方正小标宋_GBK"/>
          <w:b w:val="0"/>
          <w:bCs w:val="0"/>
          <w:color w:val="auto"/>
          <w:kern w:val="2"/>
          <w:sz w:val="44"/>
          <w:szCs w:val="44"/>
          <w:lang w:val="en-US" w:eastAsia="zh-CN"/>
        </w:rPr>
        <w:t>关于《宁夏徽锋耀食用级动物油脂加工项目环境影响报告表》审批意见的函</w:t>
      </w:r>
    </w:p>
    <w:p w14:paraId="3F9D485F">
      <w:pPr>
        <w:keepNext w:val="0"/>
        <w:keepLines w:val="0"/>
        <w:pageBreakBefore w:val="0"/>
        <w:widowControl/>
        <w:kinsoku/>
        <w:wordWrap/>
        <w:overflowPunct/>
        <w:topLinePunct w:val="0"/>
        <w:autoSpaceDE/>
        <w:autoSpaceDN/>
        <w:bidi w:val="0"/>
        <w:adjustRightInd/>
        <w:snapToGrid/>
        <w:spacing w:line="600" w:lineRule="exact"/>
        <w:jc w:val="center"/>
        <w:textAlignment w:val="center"/>
        <w:rPr>
          <w:rFonts w:hint="eastAsia" w:ascii="方正小标宋_GBK" w:hAnsi="方正小标宋_GBK" w:eastAsia="方正小标宋_GBK" w:cs="方正小标宋_GBK"/>
          <w:b w:val="0"/>
          <w:bCs w:val="0"/>
          <w:color w:val="auto"/>
          <w:kern w:val="2"/>
          <w:sz w:val="44"/>
          <w:szCs w:val="44"/>
          <w:lang w:val="en-US" w:eastAsia="zh-CN"/>
        </w:rPr>
      </w:pPr>
    </w:p>
    <w:p w14:paraId="178E5D8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color w:val="auto"/>
          <w:kern w:val="2"/>
          <w:sz w:val="32"/>
          <w:szCs w:val="32"/>
          <w:lang w:bidi="en-US"/>
        </w:rPr>
      </w:pPr>
      <w:r>
        <w:rPr>
          <w:rFonts w:hint="eastAsia" w:ascii="仿宋_GB2312" w:hAnsi="仿宋_GB2312" w:eastAsia="仿宋_GB2312" w:cs="仿宋_GB2312"/>
          <w:b w:val="0"/>
          <w:bCs/>
          <w:color w:val="auto"/>
          <w:kern w:val="2"/>
          <w:sz w:val="32"/>
          <w:szCs w:val="32"/>
          <w:lang w:val="en-US" w:eastAsia="zh-CN" w:bidi="en-US"/>
        </w:rPr>
        <w:t>宁夏徽锋耀食品科技有限公司：</w:t>
      </w:r>
    </w:p>
    <w:p w14:paraId="22571C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color w:val="auto"/>
          <w:kern w:val="2"/>
          <w:sz w:val="32"/>
          <w:szCs w:val="32"/>
          <w:lang w:bidi="en-US"/>
        </w:rPr>
      </w:pPr>
      <w:r>
        <w:rPr>
          <w:rFonts w:hint="eastAsia" w:ascii="仿宋_GB2312" w:hAnsi="仿宋_GB2312" w:eastAsia="仿宋_GB2312" w:cs="仿宋_GB2312"/>
          <w:b w:val="0"/>
          <w:bCs/>
          <w:color w:val="auto"/>
          <w:kern w:val="2"/>
          <w:sz w:val="32"/>
          <w:szCs w:val="32"/>
          <w:lang w:bidi="en-US"/>
        </w:rPr>
        <w:t>你单位报来的《</w:t>
      </w:r>
      <w:r>
        <w:rPr>
          <w:rFonts w:hint="eastAsia" w:ascii="仿宋_GB2312" w:hAnsi="仿宋_GB2312" w:eastAsia="仿宋_GB2312" w:cs="仿宋_GB2312"/>
          <w:b w:val="0"/>
          <w:bCs w:val="0"/>
          <w:sz w:val="32"/>
          <w:szCs w:val="32"/>
        </w:rPr>
        <w:t>关于申请审查、审批</w:t>
      </w:r>
      <w:r>
        <w:rPr>
          <w:rFonts w:hint="eastAsia" w:ascii="仿宋_GB2312" w:hAnsi="仿宋_GB2312" w:eastAsia="仿宋_GB2312" w:cs="仿宋_GB2312"/>
          <w:b w:val="0"/>
          <w:bCs/>
          <w:color w:val="auto"/>
          <w:kern w:val="2"/>
          <w:sz w:val="32"/>
          <w:szCs w:val="32"/>
          <w:lang w:val="en-US" w:eastAsia="zh-CN" w:bidi="en-US"/>
        </w:rPr>
        <w:t>宁夏徽锋耀食用级动物油脂加工项目</w:t>
      </w:r>
      <w:r>
        <w:rPr>
          <w:rFonts w:hint="eastAsia" w:ascii="仿宋_GB2312" w:hAnsi="仿宋_GB2312" w:eastAsia="仿宋_GB2312" w:cs="仿宋_GB2312"/>
          <w:b w:val="0"/>
          <w:bCs/>
          <w:color w:val="auto"/>
          <w:kern w:val="2"/>
          <w:sz w:val="32"/>
          <w:szCs w:val="32"/>
          <w:lang w:bidi="en-US"/>
        </w:rPr>
        <w:t>环境影响报告表</w:t>
      </w:r>
      <w:r>
        <w:rPr>
          <w:rFonts w:hint="eastAsia" w:ascii="仿宋_GB2312" w:hAnsi="仿宋_GB2312" w:eastAsia="仿宋_GB2312" w:cs="仿宋_GB2312"/>
          <w:b w:val="0"/>
          <w:bCs/>
          <w:color w:val="auto"/>
          <w:kern w:val="2"/>
          <w:sz w:val="32"/>
          <w:szCs w:val="32"/>
          <w:lang w:val="en-US" w:eastAsia="zh-CN" w:bidi="en-US"/>
        </w:rPr>
        <w:t>的函</w:t>
      </w:r>
      <w:r>
        <w:rPr>
          <w:rFonts w:hint="eastAsia" w:ascii="仿宋_GB2312" w:hAnsi="仿宋_GB2312" w:eastAsia="仿宋_GB2312" w:cs="仿宋_GB2312"/>
          <w:b w:val="0"/>
          <w:bCs/>
          <w:color w:val="auto"/>
          <w:kern w:val="2"/>
          <w:sz w:val="32"/>
          <w:szCs w:val="32"/>
          <w:lang w:bidi="en-US"/>
        </w:rPr>
        <w:t>》</w:t>
      </w:r>
      <w:r>
        <w:rPr>
          <w:rFonts w:hint="eastAsia" w:ascii="仿宋_GB2312" w:hAnsi="仿宋_GB2312" w:eastAsia="仿宋_GB2312" w:cs="仿宋_GB2312"/>
          <w:b w:val="0"/>
          <w:bCs w:val="0"/>
          <w:spacing w:val="-6"/>
          <w:sz w:val="32"/>
          <w:szCs w:val="32"/>
          <w:lang w:val="en-US" w:eastAsia="zh-CN"/>
        </w:rPr>
        <w:t>及相关文件</w:t>
      </w:r>
      <w:r>
        <w:rPr>
          <w:rFonts w:hint="eastAsia" w:ascii="仿宋_GB2312" w:hAnsi="仿宋_GB2312" w:eastAsia="仿宋_GB2312" w:cs="仿宋_GB2312"/>
          <w:b w:val="0"/>
          <w:bCs/>
          <w:color w:val="auto"/>
          <w:kern w:val="2"/>
          <w:sz w:val="32"/>
          <w:szCs w:val="32"/>
          <w:lang w:bidi="en-US"/>
        </w:rPr>
        <w:t>收悉。</w:t>
      </w:r>
      <w:r>
        <w:rPr>
          <w:rFonts w:hint="eastAsia" w:ascii="仿宋_GB2312" w:hAnsi="仿宋_GB2312" w:eastAsia="仿宋_GB2312" w:cs="仿宋_GB2312"/>
          <w:b w:val="0"/>
          <w:bCs w:val="0"/>
          <w:color w:val="auto"/>
          <w:sz w:val="32"/>
          <w:szCs w:val="32"/>
          <w:lang w:val="en-US" w:eastAsia="zh-CN" w:bidi="en-US"/>
        </w:rPr>
        <w:t>根据专家评审小组意见，经研究，现将有关审批意见函复如下。</w:t>
      </w:r>
    </w:p>
    <w:p w14:paraId="20AED1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黑体"/>
          <w:b w:val="0"/>
          <w:bCs/>
          <w:color w:val="auto"/>
          <w:kern w:val="2"/>
          <w:sz w:val="32"/>
          <w:szCs w:val="32"/>
          <w:lang w:bidi="en-US"/>
        </w:rPr>
      </w:pPr>
      <w:r>
        <w:rPr>
          <w:rFonts w:hint="eastAsia" w:ascii="Times New Roman" w:hAnsi="Times New Roman" w:eastAsia="黑体" w:cs="黑体"/>
          <w:b w:val="0"/>
          <w:bCs/>
          <w:color w:val="auto"/>
          <w:kern w:val="2"/>
          <w:sz w:val="32"/>
          <w:szCs w:val="32"/>
          <w:lang w:bidi="en-US"/>
        </w:rPr>
        <w:t>一、</w:t>
      </w:r>
      <w:r>
        <w:rPr>
          <w:rFonts w:hint="eastAsia" w:ascii="Times New Roman" w:hAnsi="Times New Roman" w:eastAsia="黑体" w:cs="黑体"/>
          <w:b w:val="0"/>
          <w:bCs/>
          <w:color w:val="auto"/>
          <w:kern w:val="2"/>
          <w:sz w:val="32"/>
          <w:szCs w:val="32"/>
          <w:lang w:val="en-US" w:eastAsia="zh-CN" w:bidi="en-US"/>
        </w:rPr>
        <w:t>项目</w:t>
      </w:r>
      <w:r>
        <w:rPr>
          <w:rFonts w:hint="eastAsia" w:ascii="Times New Roman" w:hAnsi="Times New Roman" w:eastAsia="黑体" w:cs="黑体"/>
          <w:b w:val="0"/>
          <w:bCs/>
          <w:color w:val="auto"/>
          <w:kern w:val="2"/>
          <w:sz w:val="32"/>
          <w:szCs w:val="32"/>
          <w:lang w:bidi="en-US"/>
        </w:rPr>
        <w:t>基本情况</w:t>
      </w:r>
    </w:p>
    <w:p w14:paraId="29314C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color w:val="auto"/>
          <w:kern w:val="2"/>
          <w:sz w:val="32"/>
          <w:szCs w:val="32"/>
          <w:lang w:val="en-US" w:eastAsia="zh-CN" w:bidi="en-US"/>
        </w:rPr>
      </w:pPr>
      <w:r>
        <w:rPr>
          <w:rFonts w:hint="eastAsia" w:ascii="仿宋_GB2312" w:hAnsi="仿宋_GB2312" w:eastAsia="仿宋_GB2312" w:cs="仿宋_GB2312"/>
          <w:b w:val="0"/>
          <w:bCs/>
          <w:color w:val="auto"/>
          <w:kern w:val="2"/>
          <w:sz w:val="32"/>
          <w:szCs w:val="32"/>
          <w:lang w:val="en-US" w:eastAsia="zh-CN" w:bidi="en-US"/>
        </w:rPr>
        <w:t>项目位于宁夏回族自治区中卫市海原县海兴开发区，租赁海原县海润肉食品有限公司</w:t>
      </w:r>
      <w:r>
        <w:rPr>
          <w:rFonts w:hint="eastAsia" w:ascii="仿宋_GB2312" w:hAnsi="仿宋_GB2312" w:eastAsia="仿宋_GB2312" w:cs="仿宋_GB2312"/>
          <w:b w:val="0"/>
          <w:bCs w:val="0"/>
          <w:color w:val="auto"/>
          <w:sz w:val="32"/>
          <w:szCs w:val="32"/>
          <w:highlight w:val="none"/>
          <w:lang w:val="en-US" w:eastAsia="zh-CN"/>
        </w:rPr>
        <w:t>的1座生产车间及1座冷库</w:t>
      </w:r>
      <w:r>
        <w:rPr>
          <w:rFonts w:hint="eastAsia" w:ascii="仿宋_GB2312" w:hAnsi="仿宋_GB2312" w:eastAsia="仿宋_GB2312" w:cs="仿宋_GB2312"/>
          <w:b w:val="0"/>
          <w:bCs/>
          <w:color w:val="auto"/>
          <w:kern w:val="2"/>
          <w:sz w:val="32"/>
          <w:szCs w:val="32"/>
          <w:lang w:val="en-US" w:eastAsia="zh-CN" w:bidi="en-US"/>
        </w:rPr>
        <w:t>建设。</w:t>
      </w:r>
      <w:r>
        <w:rPr>
          <w:rFonts w:hint="eastAsia" w:ascii="仿宋_GB2312" w:hAnsi="仿宋_GB2312" w:eastAsia="仿宋_GB2312" w:cs="仿宋_GB2312"/>
          <w:b w:val="0"/>
          <w:bCs w:val="0"/>
          <w:color w:val="auto"/>
          <w:sz w:val="32"/>
          <w:szCs w:val="32"/>
          <w:highlight w:val="none"/>
          <w:lang w:val="en-US" w:eastAsia="zh-CN"/>
        </w:rPr>
        <w:t>生产车间内分区布设生产区、储油罐区、油渣房、锅炉房、办公区等，</w:t>
      </w:r>
      <w:r>
        <w:rPr>
          <w:rFonts w:hint="eastAsia" w:ascii="仿宋_GB2312" w:hAnsi="仿宋_GB2312" w:eastAsia="仿宋_GB2312" w:cs="仿宋_GB2312"/>
          <w:b w:val="0"/>
          <w:bCs/>
          <w:color w:val="auto"/>
          <w:kern w:val="2"/>
          <w:sz w:val="32"/>
          <w:szCs w:val="32"/>
          <w:lang w:val="en-US" w:eastAsia="zh-CN" w:bidi="en-US"/>
        </w:rPr>
        <w:t>中心坐标为106°7′26.855″、36°21′18.959″。项目拟建设1条动物油脂深加工生产线，项目建成后，日处理原料80t，年产毛油19800t、精炼油200t</w:t>
      </w:r>
      <w:r>
        <w:rPr>
          <w:rFonts w:hint="default" w:ascii="仿宋_GB2312" w:hAnsi="仿宋_GB2312" w:eastAsia="仿宋_GB2312" w:cs="仿宋_GB2312"/>
          <w:b w:val="0"/>
          <w:bCs/>
          <w:color w:val="auto"/>
          <w:kern w:val="2"/>
          <w:sz w:val="32"/>
          <w:szCs w:val="32"/>
          <w:lang w:val="en-US" w:eastAsia="zh-CN" w:bidi="en-US"/>
        </w:rPr>
        <w:t>。项目总投资</w:t>
      </w:r>
      <w:r>
        <w:rPr>
          <w:rFonts w:hint="eastAsia" w:ascii="仿宋_GB2312" w:hAnsi="仿宋_GB2312" w:eastAsia="仿宋_GB2312" w:cs="仿宋_GB2312"/>
          <w:b w:val="0"/>
          <w:bCs/>
          <w:color w:val="auto"/>
          <w:kern w:val="2"/>
          <w:sz w:val="32"/>
          <w:szCs w:val="32"/>
          <w:lang w:val="en-US" w:eastAsia="zh-CN" w:bidi="en-US"/>
        </w:rPr>
        <w:t>2000</w:t>
      </w:r>
      <w:r>
        <w:rPr>
          <w:rFonts w:hint="default" w:ascii="仿宋_GB2312" w:hAnsi="仿宋_GB2312" w:eastAsia="仿宋_GB2312" w:cs="仿宋_GB2312"/>
          <w:b w:val="0"/>
          <w:bCs/>
          <w:color w:val="auto"/>
          <w:kern w:val="2"/>
          <w:sz w:val="32"/>
          <w:szCs w:val="32"/>
          <w:lang w:val="en-US" w:eastAsia="zh-CN" w:bidi="en-US"/>
        </w:rPr>
        <w:t>万元，其中环保投资</w:t>
      </w:r>
      <w:r>
        <w:rPr>
          <w:rFonts w:hint="eastAsia" w:ascii="仿宋_GB2312" w:hAnsi="仿宋_GB2312" w:eastAsia="仿宋_GB2312" w:cs="仿宋_GB2312"/>
          <w:b w:val="0"/>
          <w:bCs/>
          <w:color w:val="auto"/>
          <w:kern w:val="2"/>
          <w:sz w:val="32"/>
          <w:szCs w:val="32"/>
          <w:lang w:val="en-US" w:eastAsia="zh-CN" w:bidi="en-US"/>
        </w:rPr>
        <w:t>36</w:t>
      </w:r>
      <w:r>
        <w:rPr>
          <w:rFonts w:hint="default" w:ascii="仿宋_GB2312" w:hAnsi="仿宋_GB2312" w:eastAsia="仿宋_GB2312" w:cs="仿宋_GB2312"/>
          <w:b w:val="0"/>
          <w:bCs/>
          <w:color w:val="auto"/>
          <w:kern w:val="2"/>
          <w:sz w:val="32"/>
          <w:szCs w:val="32"/>
          <w:lang w:val="en-US" w:eastAsia="zh-CN" w:bidi="en-US"/>
        </w:rPr>
        <w:t>万元，占总投资的</w:t>
      </w:r>
      <w:r>
        <w:rPr>
          <w:rFonts w:hint="eastAsia" w:ascii="仿宋_GB2312" w:hAnsi="仿宋_GB2312" w:eastAsia="仿宋_GB2312" w:cs="仿宋_GB2312"/>
          <w:b w:val="0"/>
          <w:bCs/>
          <w:color w:val="auto"/>
          <w:kern w:val="2"/>
          <w:sz w:val="32"/>
          <w:szCs w:val="32"/>
          <w:lang w:val="en-US" w:eastAsia="zh-CN" w:bidi="en-US"/>
        </w:rPr>
        <w:t>1.8</w:t>
      </w:r>
      <w:r>
        <w:rPr>
          <w:rFonts w:hint="default" w:ascii="仿宋_GB2312" w:hAnsi="仿宋_GB2312" w:eastAsia="仿宋_GB2312" w:cs="仿宋_GB2312"/>
          <w:b w:val="0"/>
          <w:bCs/>
          <w:color w:val="auto"/>
          <w:kern w:val="2"/>
          <w:sz w:val="32"/>
          <w:szCs w:val="32"/>
          <w:lang w:val="en-US" w:eastAsia="zh-CN" w:bidi="en-US"/>
        </w:rPr>
        <w:t>%，</w:t>
      </w:r>
      <w:r>
        <w:rPr>
          <w:rFonts w:hint="eastAsia" w:ascii="仿宋_GB2312" w:hAnsi="仿宋_GB2312" w:eastAsia="仿宋_GB2312" w:cs="仿宋_GB2312"/>
          <w:b w:val="0"/>
          <w:bCs/>
          <w:color w:val="auto"/>
          <w:kern w:val="2"/>
          <w:sz w:val="32"/>
          <w:szCs w:val="32"/>
          <w:lang w:val="en-US" w:eastAsia="zh-CN" w:bidi="en-US"/>
        </w:rPr>
        <w:t>环保投资主要用于废气、废水、噪声、固废治理等。</w:t>
      </w:r>
    </w:p>
    <w:p w14:paraId="432B23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color w:val="auto"/>
          <w:kern w:val="2"/>
          <w:sz w:val="32"/>
          <w:szCs w:val="32"/>
          <w:lang w:val="en-US" w:eastAsia="zh-CN" w:bidi="en-US"/>
        </w:rPr>
      </w:pPr>
      <w:r>
        <w:rPr>
          <w:rFonts w:hint="eastAsia" w:ascii="仿宋_GB2312" w:hAnsi="仿宋_GB2312" w:eastAsia="仿宋_GB2312" w:cs="仿宋_GB2312"/>
          <w:b w:val="0"/>
          <w:bCs/>
          <w:color w:val="auto"/>
          <w:kern w:val="2"/>
          <w:sz w:val="32"/>
          <w:szCs w:val="32"/>
          <w:lang w:val="en-US" w:eastAsia="zh-CN" w:bidi="en-US"/>
        </w:rPr>
        <w:t>根据《产业结构调整指导目录（2024年本）》（中华人民共和国国家发展和改革委员会令第7号），本项目</w:t>
      </w:r>
      <w:r>
        <w:rPr>
          <w:rFonts w:hint="default" w:ascii="Times New Roman" w:hAnsi="Times New Roman" w:eastAsia="仿宋_GB2312" w:cs="Times New Roman"/>
          <w:b w:val="0"/>
          <w:bCs/>
          <w:color w:val="auto"/>
          <w:kern w:val="2"/>
          <w:sz w:val="32"/>
          <w:szCs w:val="32"/>
          <w:lang w:val="en-US" w:eastAsia="zh-CN" w:bidi="en-US"/>
        </w:rPr>
        <w:t>不属于鼓励类、限制类、淘汰类项目，</w:t>
      </w:r>
      <w:r>
        <w:rPr>
          <w:rFonts w:hint="eastAsia" w:ascii="Times New Roman" w:hAnsi="Times New Roman" w:eastAsia="仿宋_GB2312" w:cs="Times New Roman"/>
          <w:b w:val="0"/>
          <w:bCs/>
          <w:color w:val="auto"/>
          <w:kern w:val="2"/>
          <w:sz w:val="32"/>
          <w:szCs w:val="32"/>
          <w:lang w:val="en-US" w:eastAsia="zh-CN" w:bidi="en-US"/>
        </w:rPr>
        <w:t>属于</w:t>
      </w:r>
      <w:r>
        <w:rPr>
          <w:rFonts w:hint="default" w:ascii="Times New Roman" w:hAnsi="Times New Roman" w:eastAsia="仿宋_GB2312" w:cs="Times New Roman"/>
          <w:b w:val="0"/>
          <w:bCs/>
          <w:color w:val="auto"/>
          <w:kern w:val="2"/>
          <w:sz w:val="32"/>
          <w:szCs w:val="32"/>
          <w:lang w:val="en-US" w:eastAsia="zh-CN" w:bidi="en-US"/>
        </w:rPr>
        <w:t>允许类项目</w:t>
      </w:r>
      <w:r>
        <w:rPr>
          <w:rFonts w:hint="eastAsia" w:eastAsia="仿宋_GB2312" w:cs="Times New Roman"/>
          <w:b w:val="0"/>
          <w:bCs/>
          <w:color w:val="auto"/>
          <w:kern w:val="2"/>
          <w:sz w:val="32"/>
          <w:szCs w:val="32"/>
          <w:lang w:val="en-US" w:eastAsia="zh-CN" w:bidi="en-US"/>
        </w:rPr>
        <w:t>。</w:t>
      </w:r>
      <w:r>
        <w:rPr>
          <w:rFonts w:hint="eastAsia" w:ascii="仿宋_GB2312" w:hAnsi="仿宋_GB2312" w:eastAsia="仿宋_GB2312" w:cs="仿宋_GB2312"/>
          <w:b w:val="0"/>
          <w:bCs/>
          <w:color w:val="auto"/>
          <w:kern w:val="2"/>
          <w:sz w:val="32"/>
          <w:szCs w:val="32"/>
          <w:lang w:val="en-US" w:eastAsia="zh-CN" w:bidi="en-US"/>
        </w:rPr>
        <w:t>经评估审查，该项目建设符合国家、自治区相关政策规划，在落实《宁夏徽锋耀食用级动物油脂加工项目</w:t>
      </w:r>
      <w:r>
        <w:rPr>
          <w:rFonts w:hint="eastAsia" w:ascii="仿宋_GB2312" w:hAnsi="仿宋_GB2312" w:eastAsia="仿宋_GB2312" w:cs="仿宋_GB2312"/>
          <w:b w:val="0"/>
          <w:bCs/>
          <w:color w:val="auto"/>
          <w:kern w:val="2"/>
          <w:sz w:val="32"/>
          <w:szCs w:val="32"/>
          <w:lang w:bidi="en-US"/>
        </w:rPr>
        <w:t>环境影响报告表</w:t>
      </w:r>
      <w:r>
        <w:rPr>
          <w:rFonts w:hint="eastAsia" w:ascii="仿宋_GB2312" w:hAnsi="仿宋_GB2312" w:eastAsia="仿宋_GB2312" w:cs="仿宋_GB2312"/>
          <w:b w:val="0"/>
          <w:bCs/>
          <w:color w:val="auto"/>
          <w:kern w:val="2"/>
          <w:sz w:val="32"/>
          <w:szCs w:val="32"/>
          <w:lang w:val="en-US" w:eastAsia="zh-CN" w:bidi="en-US"/>
        </w:rPr>
        <w:t>》（以</w:t>
      </w:r>
      <w:r>
        <w:rPr>
          <w:rFonts w:hint="eastAsia" w:ascii="Times New Roman" w:hAnsi="Times New Roman" w:eastAsia="仿宋_GB2312" w:cs="Times New Roman"/>
          <w:b w:val="0"/>
          <w:bCs/>
          <w:color w:val="auto"/>
          <w:kern w:val="2"/>
          <w:sz w:val="32"/>
          <w:szCs w:val="32"/>
          <w:lang w:val="en-US" w:eastAsia="zh-CN" w:bidi="en-US"/>
        </w:rPr>
        <w:t>下简称《报告表》）提出的各项污染防治措施的基础上，同意你单位按照《报告表》中所列建设项目的性质、规模、地点、环境保护对策措施等进行项目建设。</w:t>
      </w:r>
    </w:p>
    <w:p w14:paraId="216225FC">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黑体"/>
          <w:b w:val="0"/>
          <w:bCs w:val="0"/>
          <w:color w:val="auto"/>
          <w:kern w:val="2"/>
          <w:sz w:val="32"/>
          <w:szCs w:val="32"/>
          <w:lang w:bidi="en-US"/>
        </w:rPr>
      </w:pPr>
      <w:r>
        <w:rPr>
          <w:rFonts w:hint="eastAsia" w:ascii="Times New Roman" w:hAnsi="Times New Roman" w:eastAsia="黑体" w:cs="黑体"/>
          <w:b w:val="0"/>
          <w:bCs w:val="0"/>
          <w:color w:val="auto"/>
          <w:kern w:val="2"/>
          <w:sz w:val="32"/>
          <w:szCs w:val="32"/>
          <w:lang w:bidi="en-US"/>
        </w:rPr>
        <w:t>项目建设环境影响控制主要措施</w:t>
      </w:r>
    </w:p>
    <w:p w14:paraId="2020B5F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val="0"/>
          <w:bCs/>
          <w:color w:val="auto"/>
          <w:kern w:val="2"/>
          <w:sz w:val="32"/>
          <w:szCs w:val="32"/>
          <w:lang w:val="en-US" w:eastAsia="zh-CN" w:bidi="en-US"/>
        </w:rPr>
      </w:pPr>
      <w:r>
        <w:rPr>
          <w:rFonts w:hint="eastAsia" w:ascii="楷体_GB2312" w:hAnsi="楷体_GB2312" w:eastAsia="楷体_GB2312" w:cs="楷体_GB2312"/>
          <w:b/>
          <w:bCs w:val="0"/>
          <w:color w:val="auto"/>
          <w:kern w:val="2"/>
          <w:sz w:val="32"/>
          <w:szCs w:val="32"/>
          <w:lang w:val="en-US" w:eastAsia="zh-CN" w:bidi="en-US"/>
        </w:rPr>
        <w:t>（一）严格落实《报告表》提出的废气防治措施。</w:t>
      </w:r>
      <w:r>
        <w:rPr>
          <w:rFonts w:hint="default" w:ascii="Times New Roman" w:hAnsi="Times New Roman" w:eastAsia="仿宋_GB2312" w:cs="Times New Roman"/>
          <w:b w:val="0"/>
          <w:bCs/>
          <w:color w:val="auto"/>
          <w:kern w:val="2"/>
          <w:sz w:val="32"/>
          <w:szCs w:val="32"/>
          <w:lang w:val="en-US" w:eastAsia="zh-CN" w:bidi="en-US"/>
        </w:rPr>
        <w:t>本项目施工期不涉及土建，主要在</w:t>
      </w:r>
      <w:r>
        <w:rPr>
          <w:rFonts w:hint="eastAsia" w:ascii="Times New Roman" w:hAnsi="Times New Roman" w:eastAsia="仿宋_GB2312" w:cs="Times New Roman"/>
          <w:b w:val="0"/>
          <w:bCs/>
          <w:color w:val="auto"/>
          <w:kern w:val="2"/>
          <w:sz w:val="32"/>
          <w:szCs w:val="32"/>
          <w:lang w:val="en-US" w:eastAsia="zh-CN" w:bidi="en-US"/>
        </w:rPr>
        <w:t>车间</w:t>
      </w:r>
      <w:r>
        <w:rPr>
          <w:rFonts w:hint="default" w:ascii="Times New Roman" w:hAnsi="Times New Roman" w:eastAsia="仿宋_GB2312" w:cs="Times New Roman"/>
          <w:b w:val="0"/>
          <w:bCs/>
          <w:color w:val="auto"/>
          <w:kern w:val="2"/>
          <w:sz w:val="32"/>
          <w:szCs w:val="32"/>
          <w:lang w:val="en-US" w:eastAsia="zh-CN" w:bidi="en-US"/>
        </w:rPr>
        <w:t>内进行</w:t>
      </w:r>
      <w:r>
        <w:rPr>
          <w:rFonts w:hint="eastAsia" w:ascii="Times New Roman" w:hAnsi="Times New Roman" w:eastAsia="仿宋_GB2312" w:cs="Times New Roman"/>
          <w:b w:val="0"/>
          <w:bCs/>
          <w:color w:val="auto"/>
          <w:kern w:val="2"/>
          <w:sz w:val="32"/>
          <w:szCs w:val="32"/>
          <w:lang w:val="en-US" w:eastAsia="zh-CN" w:bidi="en-US"/>
        </w:rPr>
        <w:t>生产设备及环保设施安装</w:t>
      </w:r>
      <w:r>
        <w:rPr>
          <w:rFonts w:hint="default" w:ascii="Times New Roman" w:hAnsi="Times New Roman" w:eastAsia="仿宋_GB2312" w:cs="Times New Roman"/>
          <w:b w:val="0"/>
          <w:bCs/>
          <w:color w:val="auto"/>
          <w:kern w:val="2"/>
          <w:sz w:val="32"/>
          <w:szCs w:val="32"/>
          <w:lang w:val="en-US" w:eastAsia="zh-CN" w:bidi="en-US"/>
        </w:rPr>
        <w:t>等。施工期废气主要为施工机械及运输车辆废气，产生量小，且作用范围及持续的时间均有限，并随着施工期的结束而消失，对环境影响较小</w:t>
      </w:r>
      <w:r>
        <w:rPr>
          <w:rFonts w:hint="eastAsia" w:ascii="Times New Roman" w:hAnsi="Times New Roman" w:eastAsia="仿宋_GB2312" w:cs="Times New Roman"/>
          <w:b w:val="0"/>
          <w:bCs/>
          <w:color w:val="auto"/>
          <w:kern w:val="2"/>
          <w:sz w:val="32"/>
          <w:szCs w:val="32"/>
          <w:lang w:val="en-US" w:eastAsia="zh-CN" w:bidi="en-US"/>
        </w:rPr>
        <w:t>。</w:t>
      </w:r>
    </w:p>
    <w:p w14:paraId="53EB88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color w:val="auto"/>
          <w:kern w:val="2"/>
          <w:sz w:val="32"/>
          <w:szCs w:val="32"/>
          <w:lang w:val="en-US" w:eastAsia="zh-CN" w:bidi="en-US"/>
        </w:rPr>
      </w:pPr>
      <w:r>
        <w:rPr>
          <w:rFonts w:hint="default" w:ascii="Times New Roman" w:hAnsi="Times New Roman" w:eastAsia="仿宋_GB2312" w:cs="Times New Roman"/>
          <w:b w:val="0"/>
          <w:bCs/>
          <w:color w:val="auto"/>
          <w:kern w:val="2"/>
          <w:sz w:val="32"/>
          <w:szCs w:val="32"/>
          <w:lang w:val="en-US" w:eastAsia="zh-CN" w:bidi="en-US"/>
        </w:rPr>
        <w:t>运营期废气主要为</w:t>
      </w:r>
      <w:r>
        <w:rPr>
          <w:rFonts w:hint="eastAsia" w:ascii="Times New Roman" w:hAnsi="Times New Roman" w:eastAsia="仿宋_GB2312" w:cs="Times New Roman"/>
          <w:b w:val="0"/>
          <w:bCs/>
          <w:color w:val="auto"/>
          <w:kern w:val="2"/>
          <w:sz w:val="32"/>
          <w:szCs w:val="32"/>
          <w:lang w:val="en-US" w:eastAsia="zh-CN" w:bidi="en-US"/>
        </w:rPr>
        <w:t>熔炼、脱色、脱臭废气，</w:t>
      </w:r>
      <w:r>
        <w:rPr>
          <w:rFonts w:hint="default" w:ascii="Times New Roman" w:hAnsi="Times New Roman" w:eastAsia="仿宋_GB2312" w:cs="Times New Roman"/>
          <w:b w:val="0"/>
          <w:bCs/>
          <w:color w:val="auto"/>
          <w:kern w:val="2"/>
          <w:sz w:val="32"/>
          <w:szCs w:val="32"/>
          <w:lang w:val="en-US" w:eastAsia="zh-CN" w:bidi="en-US"/>
        </w:rPr>
        <w:t>天然气导热油锅炉废气</w:t>
      </w:r>
      <w:r>
        <w:rPr>
          <w:rFonts w:hint="eastAsia" w:ascii="Times New Roman" w:hAnsi="Times New Roman" w:eastAsia="仿宋_GB2312" w:cs="Times New Roman"/>
          <w:b w:val="0"/>
          <w:bCs/>
          <w:color w:val="auto"/>
          <w:kern w:val="2"/>
          <w:sz w:val="32"/>
          <w:szCs w:val="32"/>
          <w:lang w:val="en-US" w:eastAsia="zh-CN" w:bidi="en-US"/>
        </w:rPr>
        <w:t>，</w:t>
      </w:r>
      <w:r>
        <w:rPr>
          <w:rFonts w:hint="default" w:ascii="Times New Roman" w:hAnsi="Times New Roman" w:eastAsia="仿宋_GB2312" w:cs="Times New Roman"/>
          <w:b w:val="0"/>
          <w:bCs/>
          <w:color w:val="auto"/>
          <w:kern w:val="2"/>
          <w:sz w:val="32"/>
          <w:szCs w:val="32"/>
          <w:lang w:val="en-US" w:eastAsia="zh-CN" w:bidi="en-US"/>
        </w:rPr>
        <w:t>生产车间恶臭气体</w:t>
      </w:r>
      <w:r>
        <w:rPr>
          <w:rFonts w:hint="eastAsia" w:ascii="Times New Roman" w:hAnsi="Times New Roman" w:eastAsia="仿宋_GB2312" w:cs="Times New Roman"/>
          <w:b w:val="0"/>
          <w:bCs/>
          <w:color w:val="auto"/>
          <w:kern w:val="2"/>
          <w:sz w:val="32"/>
          <w:szCs w:val="32"/>
          <w:lang w:val="en-US" w:eastAsia="zh-CN" w:bidi="en-US"/>
        </w:rPr>
        <w:t>。熔炼、脱色、脱臭</w:t>
      </w:r>
      <w:r>
        <w:rPr>
          <w:rFonts w:hint="default" w:ascii="Times New Roman" w:hAnsi="Times New Roman" w:eastAsia="仿宋_GB2312" w:cs="Times New Roman"/>
          <w:b w:val="0"/>
          <w:bCs/>
          <w:color w:val="auto"/>
          <w:kern w:val="2"/>
          <w:sz w:val="32"/>
          <w:szCs w:val="32"/>
          <w:lang w:val="en-US" w:eastAsia="zh-CN" w:bidi="en-US"/>
        </w:rPr>
        <w:t>废气经集气管道收集后，经冷凝回收系统+水喷淋装置处理后，由1根15m排气筒（DA001）排放</w:t>
      </w:r>
      <w:r>
        <w:rPr>
          <w:rFonts w:hint="eastAsia" w:ascii="Times New Roman" w:hAnsi="Times New Roman" w:eastAsia="仿宋_GB2312" w:cs="Times New Roman"/>
          <w:b w:val="0"/>
          <w:bCs/>
          <w:color w:val="auto"/>
          <w:kern w:val="2"/>
          <w:sz w:val="32"/>
          <w:szCs w:val="32"/>
          <w:lang w:val="en-US" w:eastAsia="zh-CN" w:bidi="en-US"/>
        </w:rPr>
        <w:t>。</w:t>
      </w:r>
      <w:r>
        <w:rPr>
          <w:rFonts w:hint="default" w:ascii="Times New Roman" w:hAnsi="Times New Roman" w:eastAsia="仿宋_GB2312" w:cs="Times New Roman"/>
          <w:b w:val="0"/>
          <w:bCs/>
          <w:color w:val="auto"/>
          <w:kern w:val="2"/>
          <w:sz w:val="32"/>
          <w:szCs w:val="32"/>
          <w:lang w:val="en-US" w:eastAsia="zh-CN" w:bidi="en-US"/>
        </w:rPr>
        <w:t>天然气导热油锅炉安装有低氮燃烧装置，燃烧废气通过1根</w:t>
      </w:r>
      <w:r>
        <w:rPr>
          <w:rFonts w:hint="eastAsia" w:ascii="Times New Roman" w:hAnsi="Times New Roman" w:eastAsia="仿宋_GB2312" w:cs="Times New Roman"/>
          <w:b w:val="0"/>
          <w:bCs/>
          <w:color w:val="auto"/>
          <w:kern w:val="2"/>
          <w:sz w:val="32"/>
          <w:szCs w:val="32"/>
          <w:lang w:val="en-US" w:eastAsia="zh-CN" w:bidi="en-US"/>
        </w:rPr>
        <w:t>9</w:t>
      </w:r>
      <w:r>
        <w:rPr>
          <w:rFonts w:hint="default" w:ascii="Times New Roman" w:hAnsi="Times New Roman" w:eastAsia="仿宋_GB2312" w:cs="Times New Roman"/>
          <w:b w:val="0"/>
          <w:bCs/>
          <w:color w:val="auto"/>
          <w:kern w:val="2"/>
          <w:sz w:val="32"/>
          <w:szCs w:val="32"/>
          <w:lang w:val="en-US" w:eastAsia="zh-CN" w:bidi="en-US"/>
        </w:rPr>
        <w:t>m高排气筒（DA002）排放</w:t>
      </w:r>
      <w:r>
        <w:rPr>
          <w:rFonts w:hint="eastAsia" w:ascii="Times New Roman" w:hAnsi="Times New Roman" w:eastAsia="仿宋_GB2312" w:cs="Times New Roman"/>
          <w:b w:val="0"/>
          <w:bCs/>
          <w:color w:val="auto"/>
          <w:kern w:val="2"/>
          <w:sz w:val="32"/>
          <w:szCs w:val="32"/>
          <w:lang w:val="en-US" w:eastAsia="zh-CN" w:bidi="en-US"/>
        </w:rPr>
        <w:t>。项目各生产工序均密闭运行，减少无组织挥发；原料与产品不长时间储存，加强车间通风换气；定期对生产车间地坪进行清洁，从源头上控制异味产生；项目原料密封进行运输，入厂后卸料过程密闭围挡、通风除臭；油渣房采用全封闭结构、储油罐均密闭，减少无组织挥发。</w:t>
      </w:r>
    </w:p>
    <w:p w14:paraId="0DB832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color w:val="auto"/>
          <w:kern w:val="2"/>
          <w:sz w:val="32"/>
          <w:szCs w:val="32"/>
          <w:lang w:val="en-US" w:eastAsia="zh-CN" w:bidi="en-US"/>
        </w:rPr>
      </w:pPr>
      <w:r>
        <w:rPr>
          <w:rFonts w:hint="eastAsia" w:ascii="Times New Roman" w:hAnsi="Times New Roman" w:eastAsia="仿宋_GB2312" w:cs="Times New Roman"/>
          <w:b w:val="0"/>
          <w:bCs/>
          <w:color w:val="auto"/>
          <w:kern w:val="2"/>
          <w:sz w:val="32"/>
          <w:szCs w:val="32"/>
          <w:lang w:val="en-US" w:eastAsia="zh-CN" w:bidi="en-US"/>
        </w:rPr>
        <w:t>熔炼、脱色、脱臭废气油烟排放浓度执行《饮食业油烟排放标准》（GB18483-2001）限值要求，臭气浓度排放执行《恶臭污染物排放标准》（GB14554-93）表2恶臭污染物排放标准值要求，本次评价同时将油烟识别为非甲烷总烃，非甲烷总烃执行《大气污染物综合排放标准》（GB16297-1996）表2中二级标准排放限值。天然气导热油锅炉废气颗粒物、二氧化硫排放浓度均执行《锅炉大气污染物排放标准》(GB13271-2014)表2中新建锅炉大气污染物排放浓度限值要求，氮氧化物排放浓度按照《宁夏回族自治区环境空气质量改善“十四五”规划》（[2021]85号）中“全区所有燃气锅炉氮氧化物排放浓度必须低于50mg/m</w:t>
      </w:r>
      <w:r>
        <w:rPr>
          <w:rFonts w:hint="eastAsia" w:ascii="Times New Roman" w:hAnsi="Times New Roman" w:eastAsia="仿宋_GB2312" w:cs="Times New Roman"/>
          <w:b w:val="0"/>
          <w:bCs/>
          <w:color w:val="auto"/>
          <w:kern w:val="2"/>
          <w:sz w:val="32"/>
          <w:szCs w:val="32"/>
          <w:vertAlign w:val="superscript"/>
          <w:lang w:val="en-US" w:eastAsia="zh-CN" w:bidi="en-US"/>
        </w:rPr>
        <w:t>3</w:t>
      </w:r>
      <w:r>
        <w:rPr>
          <w:rFonts w:hint="eastAsia" w:ascii="Times New Roman" w:hAnsi="Times New Roman" w:eastAsia="仿宋_GB2312" w:cs="Times New Roman"/>
          <w:b w:val="0"/>
          <w:bCs/>
          <w:color w:val="auto"/>
          <w:kern w:val="2"/>
          <w:sz w:val="32"/>
          <w:szCs w:val="32"/>
          <w:lang w:val="en-US" w:eastAsia="zh-CN" w:bidi="en-US"/>
        </w:rPr>
        <w:t>”的要求控制。生产车间恶臭气体氨、硫化氢、臭气浓度均执行《恶臭污染物排放标准》（GB14554-93）表1厂界标准值中二级新扩改建标准限值</w:t>
      </w:r>
      <w:r>
        <w:rPr>
          <w:rFonts w:hint="default" w:ascii="Times New Roman" w:hAnsi="Times New Roman" w:eastAsia="仿宋_GB2312" w:cs="Times New Roman"/>
          <w:b w:val="0"/>
          <w:bCs/>
          <w:color w:val="auto"/>
          <w:kern w:val="2"/>
          <w:sz w:val="32"/>
          <w:szCs w:val="32"/>
          <w:lang w:val="en-US" w:eastAsia="zh-CN" w:bidi="en-US"/>
        </w:rPr>
        <w:t>要求。</w:t>
      </w:r>
    </w:p>
    <w:p w14:paraId="5E9BFFA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val="0"/>
          <w:bCs/>
          <w:color w:val="auto"/>
          <w:kern w:val="2"/>
          <w:sz w:val="32"/>
          <w:szCs w:val="32"/>
          <w:lang w:val="en-US" w:eastAsia="zh-CN" w:bidi="en-US"/>
        </w:rPr>
      </w:pPr>
      <w:r>
        <w:rPr>
          <w:rFonts w:hint="eastAsia" w:ascii="楷体_GB2312" w:hAnsi="楷体_GB2312" w:eastAsia="楷体_GB2312" w:cs="楷体_GB2312"/>
          <w:b/>
          <w:bCs w:val="0"/>
          <w:color w:val="auto"/>
          <w:kern w:val="2"/>
          <w:sz w:val="32"/>
          <w:szCs w:val="32"/>
          <w:lang w:val="en-US" w:eastAsia="zh-CN" w:bidi="en-US"/>
        </w:rPr>
        <w:t>（二）严格落实《报告表》提出的废水防治措施。</w:t>
      </w:r>
      <w:r>
        <w:rPr>
          <w:rFonts w:hint="default" w:ascii="Times New Roman" w:hAnsi="Times New Roman" w:eastAsia="仿宋_GB2312" w:cs="Times New Roman"/>
          <w:b w:val="0"/>
          <w:bCs/>
          <w:color w:val="auto"/>
          <w:kern w:val="2"/>
          <w:sz w:val="32"/>
          <w:szCs w:val="32"/>
          <w:lang w:val="en-US" w:eastAsia="zh-CN" w:bidi="en-US"/>
        </w:rPr>
        <w:t>施工期废水主要是施工人员的生活污水</w:t>
      </w:r>
      <w:r>
        <w:rPr>
          <w:rFonts w:hint="eastAsia" w:ascii="Times New Roman" w:hAnsi="Times New Roman" w:eastAsia="仿宋_GB2312" w:cs="Times New Roman"/>
          <w:b w:val="0"/>
          <w:bCs/>
          <w:color w:val="auto"/>
          <w:kern w:val="2"/>
          <w:sz w:val="32"/>
          <w:szCs w:val="32"/>
          <w:lang w:val="en-US" w:eastAsia="zh-CN" w:bidi="en-US"/>
        </w:rPr>
        <w:t>，</w:t>
      </w:r>
      <w:r>
        <w:rPr>
          <w:rFonts w:hint="default" w:ascii="Times New Roman" w:hAnsi="Times New Roman" w:eastAsia="仿宋_GB2312" w:cs="Times New Roman"/>
          <w:b w:val="0"/>
          <w:bCs/>
          <w:color w:val="auto"/>
          <w:kern w:val="2"/>
          <w:sz w:val="32"/>
          <w:szCs w:val="32"/>
          <w:lang w:val="en-US" w:eastAsia="zh-CN" w:bidi="en-US"/>
        </w:rPr>
        <w:t>依托海原县海润肉类食品有限公司</w:t>
      </w:r>
      <w:r>
        <w:rPr>
          <w:rFonts w:hint="eastAsia" w:ascii="Times New Roman" w:hAnsi="Times New Roman" w:eastAsia="仿宋_GB2312" w:cs="Times New Roman"/>
          <w:b w:val="0"/>
          <w:bCs/>
          <w:color w:val="auto"/>
          <w:kern w:val="2"/>
          <w:sz w:val="32"/>
          <w:szCs w:val="32"/>
          <w:lang w:val="en-US" w:eastAsia="zh-CN" w:bidi="en-US"/>
        </w:rPr>
        <w:t>厂区化粪池+</w:t>
      </w:r>
      <w:r>
        <w:rPr>
          <w:rFonts w:hint="default" w:ascii="Times New Roman" w:hAnsi="Times New Roman" w:eastAsia="仿宋_GB2312" w:cs="Times New Roman"/>
          <w:b w:val="0"/>
          <w:bCs/>
          <w:color w:val="auto"/>
          <w:kern w:val="2"/>
          <w:sz w:val="32"/>
          <w:szCs w:val="32"/>
          <w:lang w:val="en-US" w:eastAsia="zh-CN" w:bidi="en-US"/>
        </w:rPr>
        <w:t>污水处理站处理</w:t>
      </w:r>
      <w:r>
        <w:rPr>
          <w:rFonts w:hint="eastAsia" w:ascii="Times New Roman" w:hAnsi="Times New Roman" w:eastAsia="仿宋_GB2312" w:cs="Times New Roman"/>
          <w:b w:val="0"/>
          <w:bCs/>
          <w:color w:val="auto"/>
          <w:kern w:val="2"/>
          <w:sz w:val="32"/>
          <w:szCs w:val="32"/>
          <w:lang w:val="en-US" w:eastAsia="zh-CN" w:bidi="en-US"/>
        </w:rPr>
        <w:t>，处理后</w:t>
      </w:r>
      <w:r>
        <w:rPr>
          <w:rFonts w:hint="default" w:ascii="Times New Roman" w:hAnsi="Times New Roman" w:eastAsia="仿宋_GB2312" w:cs="Times New Roman"/>
          <w:b w:val="0"/>
          <w:bCs/>
          <w:color w:val="auto"/>
          <w:kern w:val="2"/>
          <w:sz w:val="32"/>
          <w:szCs w:val="32"/>
          <w:lang w:val="en-US" w:eastAsia="zh-CN" w:bidi="en-US"/>
        </w:rPr>
        <w:t>由市政污水管网排入海兴开发区污水处理厂处理。</w:t>
      </w:r>
    </w:p>
    <w:p w14:paraId="651ED2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color w:val="auto"/>
          <w:kern w:val="2"/>
          <w:sz w:val="32"/>
          <w:szCs w:val="32"/>
          <w:lang w:val="en-US" w:eastAsia="zh-CN" w:bidi="en-US"/>
        </w:rPr>
      </w:pPr>
      <w:r>
        <w:rPr>
          <w:rFonts w:hint="default" w:ascii="Times New Roman" w:hAnsi="Times New Roman" w:eastAsia="仿宋_GB2312" w:cs="Times New Roman"/>
          <w:b w:val="0"/>
          <w:bCs/>
          <w:color w:val="auto"/>
          <w:kern w:val="2"/>
          <w:sz w:val="32"/>
          <w:szCs w:val="32"/>
          <w:lang w:val="en-US" w:eastAsia="zh-CN" w:bidi="en-US"/>
        </w:rPr>
        <w:t>运营期生活污水经海原县海润肉类食品有限公司厂区内化粪池处理后同地面冲洗废水、循环冷却水系统排水、冷凝废水、喷淋塔废水</w:t>
      </w:r>
      <w:r>
        <w:rPr>
          <w:rFonts w:hint="eastAsia" w:ascii="Times New Roman" w:hAnsi="Times New Roman" w:eastAsia="仿宋_GB2312" w:cs="Times New Roman"/>
          <w:b w:val="0"/>
          <w:bCs/>
          <w:color w:val="auto"/>
          <w:kern w:val="2"/>
          <w:sz w:val="32"/>
          <w:szCs w:val="32"/>
          <w:lang w:val="en-US" w:eastAsia="zh-CN" w:bidi="en-US"/>
        </w:rPr>
        <w:t>、脱胶废水</w:t>
      </w:r>
      <w:r>
        <w:rPr>
          <w:rFonts w:hint="default" w:ascii="Times New Roman" w:hAnsi="Times New Roman" w:eastAsia="仿宋_GB2312" w:cs="Times New Roman"/>
          <w:b w:val="0"/>
          <w:bCs/>
          <w:color w:val="auto"/>
          <w:kern w:val="2"/>
          <w:sz w:val="32"/>
          <w:szCs w:val="32"/>
          <w:lang w:val="en-US" w:eastAsia="zh-CN" w:bidi="en-US"/>
        </w:rPr>
        <w:t>依托海原县海润肉类食品有限公司污水处理站处理，处理后满足《屠宰及肉类加工工业水污染物排放标准》(GB13457-2025)表1水污染物排放限值中间接排放要求后，由市政污水管网排入海兴开发区污水处理厂处理。</w:t>
      </w:r>
    </w:p>
    <w:p w14:paraId="355F599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val="0"/>
          <w:bCs/>
          <w:color w:val="auto"/>
          <w:kern w:val="2"/>
          <w:sz w:val="32"/>
          <w:szCs w:val="32"/>
          <w:lang w:val="en-US" w:eastAsia="zh-CN" w:bidi="en-US"/>
        </w:rPr>
      </w:pPr>
      <w:r>
        <w:rPr>
          <w:rFonts w:hint="eastAsia" w:ascii="楷体_GB2312" w:hAnsi="楷体_GB2312" w:eastAsia="楷体_GB2312" w:cs="楷体_GB2312"/>
          <w:b/>
          <w:bCs w:val="0"/>
          <w:color w:val="auto"/>
          <w:kern w:val="2"/>
          <w:sz w:val="32"/>
          <w:szCs w:val="32"/>
          <w:lang w:val="en-US" w:eastAsia="zh-CN" w:bidi="en-US"/>
        </w:rPr>
        <w:t>（三）严格落实《报告表》提出的噪声防治措施。</w:t>
      </w:r>
      <w:r>
        <w:rPr>
          <w:rFonts w:hint="default" w:ascii="Times New Roman" w:hAnsi="Times New Roman" w:eastAsia="仿宋_GB2312" w:cs="Times New Roman"/>
          <w:b w:val="0"/>
          <w:bCs/>
          <w:color w:val="auto"/>
          <w:kern w:val="2"/>
          <w:sz w:val="32"/>
          <w:szCs w:val="32"/>
          <w:lang w:val="en-US" w:eastAsia="zh-CN" w:bidi="en-US"/>
        </w:rPr>
        <w:t>施工期</w:t>
      </w:r>
      <w:r>
        <w:rPr>
          <w:rFonts w:hint="default" w:ascii="Times New Roman" w:hAnsi="Times New Roman" w:eastAsia="仿宋_GB2312" w:cs="Times New Roman"/>
          <w:b w:val="0"/>
          <w:bCs/>
          <w:color w:val="auto"/>
          <w:kern w:val="2"/>
          <w:sz w:val="32"/>
          <w:szCs w:val="32"/>
          <w:lang w:val="zh-CN" w:eastAsia="zh-CN" w:bidi="en-US"/>
        </w:rPr>
        <w:t>施工单位通过合理安排施工机械设备位置，并对高噪声设备采取减振、隔音、选择合理施工时间等，可保证项目施工场界噪声满足</w:t>
      </w:r>
      <w:r>
        <w:rPr>
          <w:rFonts w:hint="default" w:ascii="Times New Roman" w:hAnsi="Times New Roman" w:eastAsia="仿宋_GB2312" w:cs="Times New Roman"/>
          <w:b w:val="0"/>
          <w:bCs/>
          <w:color w:val="auto"/>
          <w:kern w:val="2"/>
          <w:sz w:val="32"/>
          <w:szCs w:val="32"/>
          <w:lang w:val="en-US" w:eastAsia="zh-CN" w:bidi="en-US"/>
        </w:rPr>
        <w:t>《建筑施工噪声排放标准》（GB12523-2025）</w:t>
      </w:r>
      <w:r>
        <w:rPr>
          <w:rFonts w:hint="default" w:ascii="Times New Roman" w:hAnsi="Times New Roman" w:eastAsia="仿宋_GB2312" w:cs="Times New Roman"/>
          <w:b w:val="0"/>
          <w:bCs/>
          <w:color w:val="auto"/>
          <w:kern w:val="2"/>
          <w:sz w:val="32"/>
          <w:szCs w:val="32"/>
          <w:lang w:val="zh-CN" w:eastAsia="zh-CN" w:bidi="en-US"/>
        </w:rPr>
        <w:t>的要求。</w:t>
      </w:r>
    </w:p>
    <w:p w14:paraId="411EBD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color w:val="auto"/>
          <w:kern w:val="2"/>
          <w:sz w:val="32"/>
          <w:szCs w:val="32"/>
          <w:lang w:val="en-US" w:eastAsia="zh-CN" w:bidi="en-US"/>
        </w:rPr>
      </w:pPr>
      <w:r>
        <w:rPr>
          <w:rFonts w:hint="default" w:ascii="Times New Roman" w:hAnsi="Times New Roman" w:eastAsia="仿宋_GB2312" w:cs="Times New Roman"/>
          <w:b w:val="0"/>
          <w:bCs/>
          <w:color w:val="auto"/>
          <w:kern w:val="2"/>
          <w:sz w:val="32"/>
          <w:szCs w:val="32"/>
          <w:lang w:val="en-US" w:eastAsia="zh-CN" w:bidi="en-US"/>
        </w:rPr>
        <w:t>运营期选用低噪设备，采用隔声减振等治理措施，确保噪声排放满足《工业企业厂界环境噪声排放标准》（GB12348-2008）2类标准限值。</w:t>
      </w:r>
    </w:p>
    <w:p w14:paraId="4BDC92D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val="0"/>
          <w:bCs/>
          <w:color w:val="auto"/>
          <w:kern w:val="2"/>
          <w:sz w:val="32"/>
          <w:szCs w:val="32"/>
          <w:lang w:val="en-US" w:eastAsia="zh-CN" w:bidi="en-US"/>
        </w:rPr>
      </w:pPr>
      <w:r>
        <w:rPr>
          <w:rFonts w:hint="eastAsia" w:ascii="楷体_GB2312" w:hAnsi="楷体_GB2312" w:eastAsia="楷体_GB2312" w:cs="楷体_GB2312"/>
          <w:b/>
          <w:bCs w:val="0"/>
          <w:color w:val="auto"/>
          <w:kern w:val="2"/>
          <w:sz w:val="32"/>
          <w:szCs w:val="32"/>
          <w:lang w:val="en-US" w:eastAsia="zh-CN" w:bidi="en-US"/>
        </w:rPr>
        <w:t>（四）严格落实《报告表》提出的固废防治措施。</w:t>
      </w:r>
      <w:r>
        <w:rPr>
          <w:rFonts w:hint="default" w:ascii="Times New Roman" w:hAnsi="Times New Roman" w:eastAsia="仿宋_GB2312" w:cs="Times New Roman"/>
          <w:b w:val="0"/>
          <w:bCs/>
          <w:color w:val="auto"/>
          <w:kern w:val="2"/>
          <w:sz w:val="32"/>
          <w:szCs w:val="32"/>
          <w:lang w:val="en-US" w:eastAsia="zh-CN" w:bidi="en-US"/>
        </w:rPr>
        <w:t>施工期固体废物主要为设备安装产生的废弃包装材料及施工人员产生的生活垃圾。设备安装产生的废弃包装材料集中收集后外售，施工人员产生的生活垃圾集中收集后由环卫部门统一处理。</w:t>
      </w:r>
    </w:p>
    <w:p w14:paraId="49E090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color w:val="auto"/>
          <w:kern w:val="2"/>
          <w:sz w:val="32"/>
          <w:szCs w:val="32"/>
          <w:lang w:val="en-US" w:eastAsia="zh-CN" w:bidi="en-US"/>
        </w:rPr>
      </w:pPr>
      <w:r>
        <w:rPr>
          <w:rFonts w:hint="default" w:ascii="Times New Roman" w:hAnsi="Times New Roman" w:eastAsia="仿宋_GB2312" w:cs="Times New Roman"/>
          <w:b w:val="0"/>
          <w:bCs/>
          <w:color w:val="auto"/>
          <w:kern w:val="2"/>
          <w:sz w:val="32"/>
          <w:szCs w:val="32"/>
          <w:lang w:val="en-US" w:eastAsia="zh-CN" w:bidi="en-US"/>
        </w:rPr>
        <w:t>运营期固体废物主要为</w:t>
      </w:r>
      <w:r>
        <w:rPr>
          <w:rFonts w:hint="eastAsia" w:ascii="Times New Roman" w:hAnsi="Times New Roman" w:eastAsia="仿宋_GB2312" w:cs="Times New Roman"/>
          <w:b w:val="0"/>
          <w:bCs/>
          <w:color w:val="auto"/>
          <w:kern w:val="2"/>
          <w:sz w:val="32"/>
          <w:szCs w:val="32"/>
          <w:lang w:val="en-US" w:eastAsia="zh-CN" w:bidi="en-US"/>
        </w:rPr>
        <w:t>废包装物、</w:t>
      </w:r>
      <w:r>
        <w:rPr>
          <w:rFonts w:hint="default" w:ascii="Times New Roman" w:hAnsi="Times New Roman" w:eastAsia="仿宋_GB2312" w:cs="Times New Roman"/>
          <w:b w:val="0"/>
          <w:bCs/>
          <w:color w:val="auto"/>
          <w:kern w:val="2"/>
          <w:sz w:val="32"/>
          <w:szCs w:val="32"/>
          <w:lang w:val="en-US" w:eastAsia="zh-CN" w:bidi="en-US"/>
        </w:rPr>
        <w:t>隔油池</w:t>
      </w:r>
      <w:r>
        <w:rPr>
          <w:rFonts w:hint="eastAsia" w:ascii="Times New Roman" w:hAnsi="Times New Roman" w:eastAsia="仿宋_GB2312" w:cs="Times New Roman"/>
          <w:b w:val="0"/>
          <w:bCs/>
          <w:color w:val="auto"/>
          <w:kern w:val="2"/>
          <w:sz w:val="32"/>
          <w:szCs w:val="32"/>
          <w:lang w:val="en-US" w:eastAsia="zh-CN" w:bidi="en-US"/>
        </w:rPr>
        <w:t>废</w:t>
      </w:r>
      <w:r>
        <w:rPr>
          <w:rFonts w:hint="default" w:ascii="Times New Roman" w:hAnsi="Times New Roman" w:eastAsia="仿宋_GB2312" w:cs="Times New Roman"/>
          <w:b w:val="0"/>
          <w:bCs/>
          <w:color w:val="auto"/>
          <w:kern w:val="2"/>
          <w:sz w:val="32"/>
          <w:szCs w:val="32"/>
          <w:lang w:val="en-US" w:eastAsia="zh-CN" w:bidi="en-US"/>
        </w:rPr>
        <w:t>油</w:t>
      </w:r>
      <w:r>
        <w:rPr>
          <w:rFonts w:hint="eastAsia" w:ascii="Times New Roman" w:hAnsi="Times New Roman" w:eastAsia="仿宋_GB2312" w:cs="Times New Roman"/>
          <w:b w:val="0"/>
          <w:bCs/>
          <w:color w:val="auto"/>
          <w:kern w:val="2"/>
          <w:sz w:val="32"/>
          <w:szCs w:val="32"/>
          <w:lang w:val="en-US" w:eastAsia="zh-CN" w:bidi="en-US"/>
        </w:rPr>
        <w:t>、废油渣、废白土、脂肪酸、</w:t>
      </w:r>
      <w:r>
        <w:rPr>
          <w:rFonts w:hint="default" w:ascii="Times New Roman" w:hAnsi="Times New Roman" w:eastAsia="仿宋_GB2312" w:cs="Times New Roman"/>
          <w:b w:val="0"/>
          <w:bCs/>
          <w:color w:val="auto"/>
          <w:kern w:val="2"/>
          <w:sz w:val="32"/>
          <w:szCs w:val="32"/>
          <w:lang w:val="en-US" w:eastAsia="zh-CN" w:bidi="en-US"/>
        </w:rPr>
        <w:t>废导热油、废机油</w:t>
      </w:r>
      <w:r>
        <w:rPr>
          <w:rFonts w:hint="eastAsia" w:ascii="Times New Roman" w:hAnsi="Times New Roman" w:eastAsia="仿宋_GB2312" w:cs="Times New Roman"/>
          <w:b w:val="0"/>
          <w:bCs/>
          <w:color w:val="auto"/>
          <w:kern w:val="2"/>
          <w:sz w:val="32"/>
          <w:szCs w:val="32"/>
          <w:lang w:val="en-US" w:eastAsia="zh-CN" w:bidi="en-US"/>
        </w:rPr>
        <w:t>、</w:t>
      </w:r>
      <w:r>
        <w:rPr>
          <w:rFonts w:hint="default" w:ascii="Times New Roman" w:hAnsi="Times New Roman" w:eastAsia="仿宋_GB2312" w:cs="Times New Roman"/>
          <w:b w:val="0"/>
          <w:bCs/>
          <w:color w:val="auto"/>
          <w:kern w:val="2"/>
          <w:sz w:val="32"/>
          <w:szCs w:val="32"/>
          <w:lang w:val="en-US" w:eastAsia="zh-CN" w:bidi="en-US"/>
        </w:rPr>
        <w:t>生活垃圾。</w:t>
      </w:r>
      <w:r>
        <w:rPr>
          <w:rFonts w:hint="eastAsia" w:ascii="Times New Roman" w:hAnsi="Times New Roman" w:eastAsia="仿宋_GB2312" w:cs="Times New Roman"/>
          <w:b w:val="0"/>
          <w:bCs/>
          <w:color w:val="auto"/>
          <w:kern w:val="2"/>
          <w:sz w:val="32"/>
          <w:szCs w:val="32"/>
          <w:lang w:val="zh-CN" w:eastAsia="zh-CN" w:bidi="en-US"/>
        </w:rPr>
        <w:t>废包装物、</w:t>
      </w:r>
      <w:r>
        <w:rPr>
          <w:rFonts w:hint="default" w:ascii="Times New Roman" w:hAnsi="Times New Roman" w:eastAsia="仿宋_GB2312" w:cs="Times New Roman"/>
          <w:b w:val="0"/>
          <w:bCs/>
          <w:color w:val="auto"/>
          <w:kern w:val="2"/>
          <w:sz w:val="32"/>
          <w:szCs w:val="32"/>
          <w:lang w:val="en-US" w:eastAsia="zh-CN" w:bidi="en-US"/>
        </w:rPr>
        <w:t>隔油池</w:t>
      </w:r>
      <w:r>
        <w:rPr>
          <w:rFonts w:hint="eastAsia" w:ascii="Times New Roman" w:hAnsi="Times New Roman" w:eastAsia="仿宋_GB2312" w:cs="Times New Roman"/>
          <w:b w:val="0"/>
          <w:bCs/>
          <w:color w:val="auto"/>
          <w:kern w:val="2"/>
          <w:sz w:val="32"/>
          <w:szCs w:val="32"/>
          <w:lang w:val="en-US" w:eastAsia="zh-CN" w:bidi="en-US"/>
        </w:rPr>
        <w:t>废</w:t>
      </w:r>
      <w:r>
        <w:rPr>
          <w:rFonts w:hint="default" w:ascii="Times New Roman" w:hAnsi="Times New Roman" w:eastAsia="仿宋_GB2312" w:cs="Times New Roman"/>
          <w:b w:val="0"/>
          <w:bCs/>
          <w:color w:val="auto"/>
          <w:kern w:val="2"/>
          <w:sz w:val="32"/>
          <w:szCs w:val="32"/>
          <w:lang w:val="en-US" w:eastAsia="zh-CN" w:bidi="en-US"/>
        </w:rPr>
        <w:t>油</w:t>
      </w:r>
      <w:r>
        <w:rPr>
          <w:rFonts w:hint="eastAsia" w:ascii="Times New Roman" w:hAnsi="Times New Roman" w:eastAsia="仿宋_GB2312" w:cs="Times New Roman"/>
          <w:b w:val="0"/>
          <w:bCs/>
          <w:color w:val="auto"/>
          <w:kern w:val="2"/>
          <w:sz w:val="32"/>
          <w:szCs w:val="32"/>
          <w:lang w:val="en-US" w:eastAsia="zh-CN" w:bidi="en-US"/>
        </w:rPr>
        <w:t>、废油渣、废白土、脂肪酸</w:t>
      </w:r>
      <w:r>
        <w:rPr>
          <w:rFonts w:hint="eastAsia" w:ascii="Times New Roman" w:hAnsi="Times New Roman" w:eastAsia="仿宋_GB2312" w:cs="Times New Roman"/>
          <w:b w:val="0"/>
          <w:bCs/>
          <w:color w:val="auto"/>
          <w:kern w:val="2"/>
          <w:sz w:val="32"/>
          <w:szCs w:val="32"/>
          <w:lang w:val="zh-CN" w:eastAsia="zh-CN" w:bidi="en-US"/>
        </w:rPr>
        <w:t>为一般工业固体废物，集中收集后外售；</w:t>
      </w:r>
      <w:r>
        <w:rPr>
          <w:rFonts w:hint="default" w:ascii="Times New Roman" w:hAnsi="Times New Roman" w:eastAsia="仿宋_GB2312" w:cs="Times New Roman"/>
          <w:b w:val="0"/>
          <w:bCs/>
          <w:color w:val="auto"/>
          <w:kern w:val="2"/>
          <w:sz w:val="32"/>
          <w:szCs w:val="32"/>
          <w:lang w:val="zh-CN" w:eastAsia="zh-CN" w:bidi="en-US"/>
        </w:rPr>
        <w:t>废导热油、废机油集中收集后暂存于危险废物贮存点，定期交由有资质单位处置</w:t>
      </w:r>
      <w:r>
        <w:rPr>
          <w:rFonts w:hint="eastAsia" w:ascii="Times New Roman" w:hAnsi="Times New Roman" w:eastAsia="仿宋_GB2312" w:cs="Times New Roman"/>
          <w:b w:val="0"/>
          <w:bCs/>
          <w:color w:val="auto"/>
          <w:kern w:val="2"/>
          <w:sz w:val="32"/>
          <w:szCs w:val="32"/>
          <w:lang w:val="zh-CN" w:eastAsia="zh-CN" w:bidi="en-US"/>
        </w:rPr>
        <w:t>；</w:t>
      </w:r>
      <w:r>
        <w:rPr>
          <w:rFonts w:hint="default" w:ascii="Times New Roman" w:hAnsi="Times New Roman" w:eastAsia="仿宋_GB2312" w:cs="Times New Roman"/>
          <w:b w:val="0"/>
          <w:bCs/>
          <w:color w:val="auto"/>
          <w:kern w:val="2"/>
          <w:sz w:val="32"/>
          <w:szCs w:val="32"/>
          <w:lang w:val="zh-CN" w:eastAsia="zh-CN" w:bidi="en-US"/>
        </w:rPr>
        <w:t>生活垃圾分类集中收集后交环卫部门处置</w:t>
      </w:r>
      <w:r>
        <w:rPr>
          <w:rFonts w:hint="default" w:ascii="Times New Roman" w:hAnsi="Times New Roman" w:eastAsia="仿宋_GB2312" w:cs="Times New Roman"/>
          <w:b w:val="0"/>
          <w:bCs/>
          <w:color w:val="auto"/>
          <w:kern w:val="2"/>
          <w:sz w:val="32"/>
          <w:szCs w:val="32"/>
          <w:lang w:val="en-US" w:eastAsia="zh-CN" w:bidi="en-US"/>
        </w:rPr>
        <w:t>。</w:t>
      </w:r>
    </w:p>
    <w:p w14:paraId="43EA37C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val="0"/>
          <w:color w:val="auto"/>
          <w:kern w:val="2"/>
          <w:sz w:val="32"/>
          <w:szCs w:val="32"/>
          <w:lang w:val="en-US" w:eastAsia="zh-CN" w:bidi="en-US"/>
        </w:rPr>
      </w:pPr>
      <w:r>
        <w:rPr>
          <w:rFonts w:hint="default" w:ascii="Times New Roman" w:hAnsi="Times New Roman" w:eastAsia="仿宋_GB2312" w:cs="Times New Roman"/>
          <w:b/>
          <w:bCs w:val="0"/>
          <w:color w:val="auto"/>
          <w:kern w:val="2"/>
          <w:sz w:val="32"/>
          <w:szCs w:val="32"/>
          <w:lang w:val="en-US" w:eastAsia="zh-CN" w:bidi="en-US"/>
        </w:rPr>
        <w:t>（五）落实“报告表”中提出的其他建议和要求。</w:t>
      </w:r>
    </w:p>
    <w:p w14:paraId="427DD6A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黑体"/>
          <w:b w:val="0"/>
          <w:bCs/>
          <w:color w:val="auto"/>
          <w:kern w:val="2"/>
          <w:sz w:val="32"/>
          <w:szCs w:val="32"/>
          <w:lang w:bidi="en-US"/>
        </w:rPr>
      </w:pPr>
      <w:r>
        <w:rPr>
          <w:rFonts w:hint="eastAsia" w:ascii="Times New Roman" w:hAnsi="Times New Roman" w:eastAsia="黑体" w:cs="黑体"/>
          <w:b w:val="0"/>
          <w:bCs/>
          <w:color w:val="auto"/>
          <w:kern w:val="2"/>
          <w:sz w:val="32"/>
          <w:szCs w:val="32"/>
          <w:lang w:bidi="en-US"/>
        </w:rPr>
        <w:t>三、</w:t>
      </w:r>
      <w:r>
        <w:rPr>
          <w:rFonts w:hint="eastAsia" w:ascii="Times New Roman" w:hAnsi="Times New Roman" w:eastAsia="黑体" w:cs="黑体"/>
          <w:b w:val="0"/>
          <w:bCs/>
          <w:color w:val="auto"/>
          <w:kern w:val="2"/>
          <w:sz w:val="32"/>
          <w:szCs w:val="32"/>
          <w:lang w:val="en-US" w:eastAsia="zh-CN" w:bidi="en-US"/>
        </w:rPr>
        <w:t>相</w:t>
      </w:r>
      <w:r>
        <w:rPr>
          <w:rFonts w:hint="eastAsia" w:ascii="Times New Roman" w:hAnsi="Times New Roman" w:eastAsia="黑体" w:cs="黑体"/>
          <w:b w:val="0"/>
          <w:bCs/>
          <w:color w:val="auto"/>
          <w:kern w:val="2"/>
          <w:sz w:val="32"/>
          <w:szCs w:val="32"/>
          <w:lang w:bidi="en-US"/>
        </w:rPr>
        <w:t>关要求</w:t>
      </w:r>
    </w:p>
    <w:p w14:paraId="418F8D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color w:val="auto"/>
          <w:kern w:val="2"/>
          <w:sz w:val="32"/>
          <w:szCs w:val="32"/>
          <w:lang w:val="en-US" w:eastAsia="zh-CN" w:bidi="en-US"/>
        </w:rPr>
      </w:pPr>
      <w:r>
        <w:rPr>
          <w:rFonts w:hint="eastAsia" w:ascii="仿宋_GB2312" w:hAnsi="仿宋_GB2312" w:eastAsia="仿宋_GB2312" w:cs="仿宋_GB2312"/>
          <w:b w:val="0"/>
          <w:bCs/>
          <w:color w:val="auto"/>
          <w:kern w:val="2"/>
          <w:sz w:val="32"/>
          <w:szCs w:val="32"/>
          <w:lang w:val="en-US" w:eastAsia="zh-CN" w:bidi="en-US"/>
        </w:rPr>
        <w:t>（一）项目建设必须严格执行建设项目环境保护设施与主体工程同时设计、同时施工、同时投入使用的环境保护“三同时”制度，项目竣工投入运行前须按规定办理项目环保竣工验收，验收合格后方可投入生产，并将环保竣工验收材料报生态环境主管部门进行备案。</w:t>
      </w:r>
    </w:p>
    <w:p w14:paraId="08A128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color w:val="auto"/>
          <w:kern w:val="2"/>
          <w:sz w:val="32"/>
          <w:szCs w:val="32"/>
          <w:lang w:val="en-US" w:eastAsia="zh-CN" w:bidi="en-US"/>
        </w:rPr>
      </w:pPr>
      <w:r>
        <w:rPr>
          <w:rFonts w:hint="eastAsia" w:ascii="仿宋_GB2312" w:hAnsi="仿宋_GB2312" w:eastAsia="仿宋_GB2312" w:cs="仿宋_GB2312"/>
          <w:b w:val="0"/>
          <w:bCs/>
          <w:color w:val="auto"/>
          <w:kern w:val="2"/>
          <w:sz w:val="32"/>
          <w:szCs w:val="32"/>
          <w:lang w:val="en-US" w:eastAsia="zh-CN" w:bidi="en-US"/>
        </w:rPr>
        <w:t>（二）本批复仅限于《报告表》确定的工程内容，建设项目的地点、性质、规模、采用的工艺或者防治污染、防止生态破坏的措施等发生重大变动的，建设单位应当重新报批建设项目的环境影响评价文件。《报告表》自批准之日起，如超过5年方决定工程开工建设的，《报告表》应当报我局重新审核。</w:t>
      </w:r>
    </w:p>
    <w:p w14:paraId="2E12A6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color w:val="auto"/>
          <w:kern w:val="2"/>
          <w:sz w:val="32"/>
          <w:szCs w:val="32"/>
          <w:lang w:val="en-US" w:eastAsia="zh-CN" w:bidi="en-US"/>
        </w:rPr>
      </w:pPr>
      <w:r>
        <w:rPr>
          <w:rFonts w:hint="eastAsia" w:ascii="仿宋_GB2312" w:hAnsi="仿宋_GB2312" w:eastAsia="仿宋_GB2312" w:cs="仿宋_GB2312"/>
          <w:b w:val="0"/>
          <w:bCs/>
          <w:color w:val="auto"/>
          <w:kern w:val="2"/>
          <w:sz w:val="32"/>
          <w:szCs w:val="32"/>
          <w:lang w:val="en-US" w:eastAsia="zh-CN" w:bidi="en-US"/>
        </w:rPr>
        <w:t>（三）建设项目须依法依规取得相关部门合法手续后，方可开工建设。</w:t>
      </w:r>
    </w:p>
    <w:p w14:paraId="578140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val="0"/>
          <w:bCs/>
          <w:color w:val="auto"/>
          <w:kern w:val="2"/>
          <w:sz w:val="32"/>
          <w:szCs w:val="32"/>
          <w:lang w:val="en-US" w:eastAsia="zh-CN" w:bidi="en-US"/>
        </w:rPr>
        <w:t>（四）海原县生态环境保护执法大队负责该项目环境保护“三同时”监督工作。</w:t>
      </w:r>
    </w:p>
    <w:p w14:paraId="3C993F1F">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textAlignment w:val="baseline"/>
        <w:rPr>
          <w:rFonts w:hint="eastAsia" w:ascii="宋体" w:hAnsi="宋体" w:eastAsia="宋体" w:cs="宋体"/>
          <w:b w:val="0"/>
          <w:bCs w:val="0"/>
          <w:i w:val="0"/>
          <w:iCs w:val="0"/>
          <w:caps w:val="0"/>
          <w:color w:val="auto"/>
          <w:spacing w:val="0"/>
          <w:sz w:val="32"/>
          <w:szCs w:val="32"/>
        </w:rPr>
      </w:pPr>
      <w:r>
        <w:rPr>
          <w:rFonts w:hint="default" w:ascii="Times New Roman" w:hAnsi="Times New Roman" w:eastAsia="仿宋_GB2312" w:cs="Times New Roman"/>
          <w:b w:val="0"/>
          <w:bCs w:val="0"/>
          <w:color w:val="auto"/>
          <w:sz w:val="32"/>
          <w:szCs w:val="32"/>
          <w:lang w:val="en-US" w:eastAsia="zh-CN" w:bidi="en-US"/>
        </w:rPr>
        <w:t>（五）建设单位应建立健全环境管理制度和环保岗位责任制。设立专人负责项目运营期环境管理工作，加强设施的日常维护。</w:t>
      </w:r>
    </w:p>
    <w:p w14:paraId="60F4B8B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right="0" w:firstLine="420"/>
        <w:jc w:val="right"/>
        <w:rPr>
          <w:rFonts w:hint="eastAsia" w:ascii="宋体" w:hAnsi="宋体" w:eastAsia="宋体" w:cs="宋体"/>
          <w:b w:val="0"/>
          <w:bCs w:val="0"/>
          <w:i w:val="0"/>
          <w:iCs w:val="0"/>
          <w:caps w:val="0"/>
          <w:color w:val="auto"/>
          <w:spacing w:val="0"/>
          <w:sz w:val="32"/>
          <w:szCs w:val="32"/>
          <w:shd w:val="clear" w:fill="FFFFFF"/>
          <w:lang w:val="en-US" w:eastAsia="zh-CN"/>
        </w:rPr>
      </w:pPr>
    </w:p>
    <w:p w14:paraId="04809ED3">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right="0" w:firstLine="420"/>
        <w:jc w:val="right"/>
        <w:rPr>
          <w:rFonts w:hint="eastAsia" w:ascii="宋体" w:hAnsi="宋体" w:eastAsia="宋体" w:cs="宋体"/>
          <w:b w:val="0"/>
          <w:bCs w:val="0"/>
          <w:i w:val="0"/>
          <w:iCs w:val="0"/>
          <w:caps w:val="0"/>
          <w:color w:val="auto"/>
          <w:spacing w:val="0"/>
          <w:sz w:val="32"/>
          <w:szCs w:val="32"/>
          <w:shd w:val="clear" w:fill="FFFFFF"/>
          <w:lang w:val="en-US" w:eastAsia="zh-CN"/>
        </w:rPr>
      </w:pPr>
    </w:p>
    <w:p w14:paraId="620AC804">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right="0" w:firstLine="420"/>
        <w:jc w:val="right"/>
        <w:rPr>
          <w:rFonts w:hint="eastAsia" w:ascii="宋体" w:hAnsi="宋体" w:eastAsia="宋体" w:cs="宋体"/>
          <w:b w:val="0"/>
          <w:bCs w:val="0"/>
          <w:i w:val="0"/>
          <w:iCs w:val="0"/>
          <w:caps w:val="0"/>
          <w:color w:val="auto"/>
          <w:spacing w:val="0"/>
          <w:sz w:val="32"/>
          <w:szCs w:val="32"/>
          <w:shd w:val="clear" w:fill="FFFFFF"/>
          <w:lang w:val="en-US" w:eastAsia="zh-CN"/>
        </w:rPr>
      </w:pPr>
    </w:p>
    <w:p w14:paraId="7B5C258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right="0" w:firstLine="420"/>
        <w:jc w:val="right"/>
        <w:rPr>
          <w:rFonts w:hint="eastAsia" w:ascii="仿宋_GB2312" w:hAnsi="仿宋_GB2312" w:eastAsia="仿宋_GB2312" w:cs="仿宋_GB2312"/>
          <w:b w:val="0"/>
          <w:bCs w:val="0"/>
          <w:i w:val="0"/>
          <w:iCs w:val="0"/>
          <w:caps w:val="0"/>
          <w:color w:val="auto"/>
          <w:spacing w:val="0"/>
          <w:sz w:val="32"/>
          <w:szCs w:val="32"/>
          <w:shd w:val="clear" w:fill="FFFFFF"/>
          <w:lang w:val="en-US" w:eastAsia="zh-CN"/>
        </w:rPr>
      </w:pPr>
    </w:p>
    <w:p w14:paraId="5D2B1E03">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right="0" w:firstLine="420"/>
        <w:jc w:val="right"/>
        <w:rPr>
          <w:rFonts w:hint="eastAsia" w:ascii="仿宋_GB2312" w:hAnsi="仿宋_GB2312" w:eastAsia="仿宋_GB2312" w:cs="仿宋_GB2312"/>
          <w:b w:val="0"/>
          <w:bCs w:val="0"/>
          <w:i w:val="0"/>
          <w:iCs w:val="0"/>
          <w:caps w:val="0"/>
          <w:color w:val="auto"/>
          <w:spacing w:val="0"/>
          <w:sz w:val="32"/>
          <w:szCs w:val="32"/>
          <w:lang w:val="en-US" w:eastAsia="zh-CN"/>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中卫</w:t>
      </w:r>
      <w:r>
        <w:rPr>
          <w:rFonts w:hint="eastAsia" w:ascii="仿宋_GB2312" w:hAnsi="仿宋_GB2312" w:eastAsia="仿宋_GB2312" w:cs="仿宋_GB2312"/>
          <w:b w:val="0"/>
          <w:bCs w:val="0"/>
          <w:i w:val="0"/>
          <w:iCs w:val="0"/>
          <w:caps w:val="0"/>
          <w:color w:val="auto"/>
          <w:spacing w:val="0"/>
          <w:sz w:val="32"/>
          <w:szCs w:val="32"/>
          <w:shd w:val="clear" w:fill="FFFFFF"/>
        </w:rPr>
        <w:t>市</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生态环境局海原县分局</w:t>
      </w:r>
    </w:p>
    <w:p w14:paraId="60CE0D0D">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right="0" w:firstLine="420"/>
        <w:jc w:val="right"/>
        <w:rPr>
          <w:rFonts w:hint="eastAsia" w:ascii="仿宋_GB2312" w:hAnsi="仿宋_GB2312" w:eastAsia="仿宋_GB2312" w:cs="仿宋_GB2312"/>
          <w:b w:val="0"/>
          <w:bCs w:val="0"/>
          <w:i w:val="0"/>
          <w:iCs w:val="0"/>
          <w:caps w:val="0"/>
          <w:color w:val="auto"/>
          <w:spacing w:val="0"/>
          <w:sz w:val="32"/>
          <w:szCs w:val="32"/>
          <w:highlight w:val="none"/>
          <w:shd w:val="clear" w:fill="FFFFFF"/>
        </w:rPr>
      </w:pPr>
      <w:r>
        <w:rPr>
          <w:rFonts w:hint="eastAsia" w:ascii="仿宋_GB2312" w:hAnsi="仿宋_GB2312" w:eastAsia="仿宋_GB2312" w:cs="仿宋_GB2312"/>
          <w:b w:val="0"/>
          <w:bCs w:val="0"/>
          <w:i w:val="0"/>
          <w:iCs w:val="0"/>
          <w:caps w:val="0"/>
          <w:color w:val="auto"/>
          <w:spacing w:val="0"/>
          <w:sz w:val="32"/>
          <w:szCs w:val="32"/>
          <w:highlight w:val="none"/>
          <w:shd w:val="clear" w:fill="FFFFFF"/>
        </w:rPr>
        <w:t>202</w:t>
      </w:r>
      <w:r>
        <w:rPr>
          <w:rFonts w:hint="eastAsia" w:ascii="仿宋_GB2312" w:hAnsi="仿宋_GB2312" w:eastAsia="仿宋_GB2312" w:cs="仿宋_GB2312"/>
          <w:b w:val="0"/>
          <w:bCs w:val="0"/>
          <w:i w:val="0"/>
          <w:iCs w:val="0"/>
          <w:caps w:val="0"/>
          <w:color w:val="auto"/>
          <w:spacing w:val="0"/>
          <w:sz w:val="32"/>
          <w:szCs w:val="32"/>
          <w:highlight w:val="none"/>
          <w:shd w:val="clear" w:fill="FFFFFF"/>
          <w:lang w:val="en-US" w:eastAsia="zh-CN"/>
        </w:rPr>
        <w:t>6</w:t>
      </w:r>
      <w:r>
        <w:rPr>
          <w:rFonts w:hint="eastAsia" w:ascii="仿宋_GB2312" w:hAnsi="仿宋_GB2312" w:eastAsia="仿宋_GB2312" w:cs="仿宋_GB2312"/>
          <w:b w:val="0"/>
          <w:bCs w:val="0"/>
          <w:i w:val="0"/>
          <w:iCs w:val="0"/>
          <w:caps w:val="0"/>
          <w:color w:val="auto"/>
          <w:spacing w:val="0"/>
          <w:sz w:val="32"/>
          <w:szCs w:val="32"/>
          <w:highlight w:val="none"/>
          <w:shd w:val="clear" w:fill="FFFFFF"/>
        </w:rPr>
        <w:t>年</w:t>
      </w:r>
      <w:r>
        <w:rPr>
          <w:rFonts w:hint="eastAsia" w:ascii="仿宋_GB2312" w:hAnsi="仿宋_GB2312" w:eastAsia="仿宋_GB2312" w:cs="仿宋_GB2312"/>
          <w:b w:val="0"/>
          <w:bCs w:val="0"/>
          <w:i w:val="0"/>
          <w:iCs w:val="0"/>
          <w:caps w:val="0"/>
          <w:color w:val="auto"/>
          <w:spacing w:val="0"/>
          <w:sz w:val="32"/>
          <w:szCs w:val="32"/>
          <w:highlight w:val="none"/>
          <w:shd w:val="clear" w:fill="FFFFFF"/>
          <w:lang w:val="en-US" w:eastAsia="zh-CN"/>
        </w:rPr>
        <w:t>9</w:t>
      </w:r>
      <w:r>
        <w:rPr>
          <w:rFonts w:hint="eastAsia" w:ascii="仿宋_GB2312" w:hAnsi="仿宋_GB2312" w:eastAsia="仿宋_GB2312" w:cs="仿宋_GB2312"/>
          <w:b w:val="0"/>
          <w:bCs w:val="0"/>
          <w:i w:val="0"/>
          <w:iCs w:val="0"/>
          <w:caps w:val="0"/>
          <w:color w:val="auto"/>
          <w:spacing w:val="0"/>
          <w:sz w:val="32"/>
          <w:szCs w:val="32"/>
          <w:highlight w:val="none"/>
          <w:shd w:val="clear" w:fill="FFFFFF"/>
        </w:rPr>
        <w:t>月</w:t>
      </w:r>
      <w:r>
        <w:rPr>
          <w:rFonts w:hint="eastAsia" w:ascii="仿宋_GB2312" w:hAnsi="仿宋_GB2312" w:eastAsia="仿宋_GB2312" w:cs="仿宋_GB2312"/>
          <w:b w:val="0"/>
          <w:bCs w:val="0"/>
          <w:i w:val="0"/>
          <w:iCs w:val="0"/>
          <w:caps w:val="0"/>
          <w:color w:val="auto"/>
          <w:spacing w:val="0"/>
          <w:sz w:val="32"/>
          <w:szCs w:val="32"/>
          <w:highlight w:val="none"/>
          <w:shd w:val="clear" w:fill="FFFFFF"/>
          <w:lang w:val="en-US" w:eastAsia="zh-CN"/>
        </w:rPr>
        <w:t>7</w:t>
      </w:r>
      <w:r>
        <w:rPr>
          <w:rFonts w:hint="eastAsia" w:ascii="仿宋_GB2312" w:hAnsi="仿宋_GB2312" w:eastAsia="仿宋_GB2312" w:cs="仿宋_GB2312"/>
          <w:b w:val="0"/>
          <w:bCs w:val="0"/>
          <w:i w:val="0"/>
          <w:iCs w:val="0"/>
          <w:caps w:val="0"/>
          <w:color w:val="auto"/>
          <w:spacing w:val="0"/>
          <w:sz w:val="32"/>
          <w:szCs w:val="32"/>
          <w:highlight w:val="none"/>
          <w:shd w:val="clear" w:fill="FFFFFF"/>
        </w:rPr>
        <w:t>日</w:t>
      </w:r>
    </w:p>
    <w:p w14:paraId="2D164D52">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right="0" w:firstLine="420"/>
        <w:jc w:val="right"/>
        <w:rPr>
          <w:rFonts w:hint="eastAsia" w:ascii="仿宋_GB2312" w:hAnsi="仿宋_GB2312" w:eastAsia="仿宋_GB2312" w:cs="仿宋_GB2312"/>
          <w:b w:val="0"/>
          <w:bCs w:val="0"/>
          <w:i w:val="0"/>
          <w:iCs w:val="0"/>
          <w:caps w:val="0"/>
          <w:color w:val="000000" w:themeColor="text1"/>
          <w:spacing w:val="0"/>
          <w:sz w:val="32"/>
          <w:szCs w:val="32"/>
          <w:highlight w:val="yellow"/>
          <w:shd w:val="clear" w:fill="FFFFFF"/>
          <w14:textFill>
            <w14:solidFill>
              <w14:schemeClr w14:val="tx1"/>
            </w14:solidFill>
          </w14:textFill>
        </w:rPr>
      </w:pPr>
    </w:p>
    <w:p w14:paraId="0907C9BF">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15" w:lineRule="atLeast"/>
        <w:ind w:left="0" w:right="0" w:firstLine="420"/>
        <w:jc w:val="right"/>
        <w:rPr>
          <w:rFonts w:hint="eastAsia" w:ascii="宋体" w:hAnsi="宋体" w:eastAsia="宋体" w:cs="宋体"/>
          <w:b w:val="0"/>
          <w:bCs w:val="0"/>
          <w:i w:val="0"/>
          <w:iCs w:val="0"/>
          <w:caps w:val="0"/>
          <w:color w:val="000000" w:themeColor="text1"/>
          <w:spacing w:val="0"/>
          <w:sz w:val="30"/>
          <w:szCs w:val="30"/>
          <w:highlight w:val="yellow"/>
          <w:shd w:val="clear" w:fill="FFFFFF"/>
          <w14:textFill>
            <w14:solidFill>
              <w14:schemeClr w14:val="tx1"/>
            </w14:solidFill>
          </w14:textFill>
        </w:rPr>
      </w:pPr>
    </w:p>
    <w:p w14:paraId="002E4C19">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15" w:lineRule="atLeast"/>
        <w:ind w:left="0" w:right="0" w:firstLine="420"/>
        <w:jc w:val="right"/>
        <w:rPr>
          <w:rFonts w:hint="eastAsia" w:ascii="宋体" w:hAnsi="宋体" w:eastAsia="宋体" w:cs="宋体"/>
          <w:b w:val="0"/>
          <w:bCs w:val="0"/>
          <w:i w:val="0"/>
          <w:iCs w:val="0"/>
          <w:caps w:val="0"/>
          <w:color w:val="000000" w:themeColor="text1"/>
          <w:spacing w:val="0"/>
          <w:sz w:val="30"/>
          <w:szCs w:val="30"/>
          <w:highlight w:val="yellow"/>
          <w:shd w:val="clear" w:fill="FFFFFF"/>
          <w14:textFill>
            <w14:solidFill>
              <w14:schemeClr w14:val="tx1"/>
            </w14:solidFill>
          </w14:textFill>
        </w:rPr>
      </w:pPr>
    </w:p>
    <w:p w14:paraId="0CD19CE3">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15" w:lineRule="atLeast"/>
        <w:ind w:left="0" w:right="0" w:firstLine="420"/>
        <w:jc w:val="right"/>
        <w:rPr>
          <w:rFonts w:hint="eastAsia" w:ascii="宋体" w:hAnsi="宋体" w:eastAsia="宋体" w:cs="宋体"/>
          <w:b w:val="0"/>
          <w:bCs w:val="0"/>
          <w:i w:val="0"/>
          <w:iCs w:val="0"/>
          <w:caps w:val="0"/>
          <w:color w:val="000000" w:themeColor="text1"/>
          <w:spacing w:val="0"/>
          <w:sz w:val="30"/>
          <w:szCs w:val="30"/>
          <w:highlight w:val="yellow"/>
          <w:shd w:val="clear" w:fill="FFFFFF"/>
          <w14:textFill>
            <w14:solidFill>
              <w14:schemeClr w14:val="tx1"/>
            </w14:solidFill>
          </w14:textFill>
        </w:rPr>
      </w:pPr>
    </w:p>
    <w:p w14:paraId="5AD7ABD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15" w:lineRule="atLeast"/>
        <w:ind w:left="0" w:right="0" w:firstLine="420"/>
        <w:jc w:val="right"/>
        <w:rPr>
          <w:rFonts w:hint="eastAsia" w:ascii="宋体" w:hAnsi="宋体" w:eastAsia="宋体" w:cs="宋体"/>
          <w:b w:val="0"/>
          <w:bCs w:val="0"/>
          <w:i w:val="0"/>
          <w:iCs w:val="0"/>
          <w:caps w:val="0"/>
          <w:color w:val="000000" w:themeColor="text1"/>
          <w:spacing w:val="0"/>
          <w:sz w:val="30"/>
          <w:szCs w:val="30"/>
          <w:highlight w:val="yellow"/>
          <w:shd w:val="clear" w:fill="FFFFFF"/>
          <w14:textFill>
            <w14:solidFill>
              <w14:schemeClr w14:val="tx1"/>
            </w14:solidFill>
          </w14:textFill>
        </w:rPr>
      </w:pPr>
    </w:p>
    <w:p w14:paraId="10C5634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15" w:lineRule="atLeast"/>
        <w:ind w:right="0"/>
        <w:jc w:val="both"/>
        <w:rPr>
          <w:rFonts w:hint="eastAsia" w:ascii="宋体" w:hAnsi="宋体" w:eastAsia="宋体" w:cs="宋体"/>
          <w:b w:val="0"/>
          <w:bCs w:val="0"/>
          <w:i w:val="0"/>
          <w:iCs w:val="0"/>
          <w:caps w:val="0"/>
          <w:color w:val="000000" w:themeColor="text1"/>
          <w:spacing w:val="0"/>
          <w:sz w:val="30"/>
          <w:szCs w:val="30"/>
          <w:highlight w:val="yellow"/>
          <w:shd w:val="clear" w:fill="FFFFFF"/>
          <w14:textFill>
            <w14:solidFill>
              <w14:schemeClr w14:val="tx1"/>
            </w14:solidFill>
          </w14:textFill>
        </w:rPr>
      </w:pPr>
    </w:p>
    <w:p w14:paraId="7A9EF91D">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15" w:lineRule="atLeast"/>
        <w:ind w:left="0" w:right="0" w:firstLine="420"/>
        <w:jc w:val="right"/>
        <w:rPr>
          <w:rFonts w:hint="eastAsia" w:ascii="宋体" w:hAnsi="宋体" w:eastAsia="宋体" w:cs="宋体"/>
          <w:b w:val="0"/>
          <w:bCs w:val="0"/>
          <w:i w:val="0"/>
          <w:iCs w:val="0"/>
          <w:caps w:val="0"/>
          <w:color w:val="000000" w:themeColor="text1"/>
          <w:spacing w:val="0"/>
          <w:sz w:val="30"/>
          <w:szCs w:val="30"/>
          <w:highlight w:val="yellow"/>
          <w:shd w:val="clear" w:fill="FFFFFF"/>
          <w14:textFill>
            <w14:solidFill>
              <w14:schemeClr w14:val="tx1"/>
            </w14:solidFill>
          </w14:textFill>
        </w:rPr>
      </w:pPr>
    </w:p>
    <w:p w14:paraId="6FE51577">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15" w:lineRule="atLeast"/>
        <w:ind w:right="0"/>
        <w:jc w:val="both"/>
        <w:rPr>
          <w:rFonts w:hint="eastAsia" w:ascii="宋体" w:hAnsi="宋体" w:eastAsia="宋体" w:cs="宋体"/>
          <w:b w:val="0"/>
          <w:bCs w:val="0"/>
          <w:i w:val="0"/>
          <w:iCs w:val="0"/>
          <w:caps w:val="0"/>
          <w:color w:val="000000" w:themeColor="text1"/>
          <w:spacing w:val="0"/>
          <w:sz w:val="30"/>
          <w:szCs w:val="30"/>
          <w:highlight w:val="yellow"/>
          <w:shd w:val="clear" w:fill="FFFFFF"/>
          <w14:textFill>
            <w14:solidFill>
              <w14:schemeClr w14:val="tx1"/>
            </w14:solidFill>
          </w14:textFill>
        </w:rPr>
      </w:pPr>
    </w:p>
    <w:p w14:paraId="165DB3B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15" w:lineRule="atLeast"/>
        <w:ind w:left="0" w:right="0" w:firstLine="420"/>
        <w:jc w:val="right"/>
        <w:rPr>
          <w:rFonts w:hint="eastAsia" w:ascii="宋体" w:hAnsi="宋体" w:eastAsia="宋体" w:cs="宋体"/>
          <w:b w:val="0"/>
          <w:bCs w:val="0"/>
          <w:i w:val="0"/>
          <w:iCs w:val="0"/>
          <w:caps w:val="0"/>
          <w:color w:val="000000" w:themeColor="text1"/>
          <w:spacing w:val="0"/>
          <w:sz w:val="30"/>
          <w:szCs w:val="30"/>
          <w:highlight w:val="yellow"/>
          <w:shd w:val="clear" w:fill="FFFFFF"/>
          <w14:textFill>
            <w14:solidFill>
              <w14:schemeClr w14:val="tx1"/>
            </w14:solidFill>
          </w14:textFill>
        </w:rPr>
      </w:pPr>
    </w:p>
    <w:p w14:paraId="512F473A">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15" w:lineRule="atLeast"/>
        <w:ind w:left="0" w:right="0" w:firstLine="420"/>
        <w:jc w:val="right"/>
        <w:rPr>
          <w:rFonts w:hint="eastAsia" w:ascii="宋体" w:hAnsi="宋体" w:eastAsia="宋体" w:cs="宋体"/>
          <w:b w:val="0"/>
          <w:bCs w:val="0"/>
          <w:i w:val="0"/>
          <w:iCs w:val="0"/>
          <w:caps w:val="0"/>
          <w:color w:val="000000" w:themeColor="text1"/>
          <w:spacing w:val="0"/>
          <w:sz w:val="30"/>
          <w:szCs w:val="30"/>
          <w:highlight w:val="yellow"/>
          <w:shd w:val="clear" w:fill="FFFFFF"/>
          <w14:textFill>
            <w14:solidFill>
              <w14:schemeClr w14:val="tx1"/>
            </w14:solidFill>
          </w14:textFill>
        </w:rPr>
      </w:pPr>
    </w:p>
    <w:p w14:paraId="690CD7FB">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15" w:lineRule="atLeast"/>
        <w:ind w:left="0" w:right="0" w:firstLine="420"/>
        <w:jc w:val="right"/>
        <w:rPr>
          <w:rFonts w:hint="eastAsia" w:ascii="宋体" w:hAnsi="宋体" w:eastAsia="宋体" w:cs="宋体"/>
          <w:b w:val="0"/>
          <w:bCs w:val="0"/>
          <w:i w:val="0"/>
          <w:iCs w:val="0"/>
          <w:caps w:val="0"/>
          <w:color w:val="000000" w:themeColor="text1"/>
          <w:spacing w:val="0"/>
          <w:sz w:val="30"/>
          <w:szCs w:val="30"/>
          <w:highlight w:val="yellow"/>
          <w:shd w:val="clear" w:fill="FFFFFF"/>
          <w14:textFill>
            <w14:solidFill>
              <w14:schemeClr w14:val="tx1"/>
            </w14:solidFill>
          </w14:textFill>
        </w:rPr>
      </w:pPr>
    </w:p>
    <w:p w14:paraId="1ED8F4D7">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15" w:lineRule="atLeast"/>
        <w:ind w:left="0" w:right="0" w:firstLine="420"/>
        <w:jc w:val="right"/>
        <w:rPr>
          <w:rFonts w:hint="eastAsia" w:ascii="宋体" w:hAnsi="宋体" w:eastAsia="宋体" w:cs="宋体"/>
          <w:b w:val="0"/>
          <w:bCs w:val="0"/>
          <w:i w:val="0"/>
          <w:iCs w:val="0"/>
          <w:caps w:val="0"/>
          <w:color w:val="000000" w:themeColor="text1"/>
          <w:spacing w:val="0"/>
          <w:sz w:val="30"/>
          <w:szCs w:val="30"/>
          <w:highlight w:val="yellow"/>
          <w:shd w:val="clear" w:fill="FFFFFF"/>
          <w14:textFill>
            <w14:solidFill>
              <w14:schemeClr w14:val="tx1"/>
            </w14:solidFill>
          </w14:textFill>
        </w:rPr>
      </w:pPr>
    </w:p>
    <w:p w14:paraId="5FC02802">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15" w:lineRule="atLeast"/>
        <w:ind w:right="0"/>
        <w:jc w:val="both"/>
        <w:rPr>
          <w:rFonts w:hint="eastAsia" w:ascii="宋体" w:hAnsi="宋体" w:eastAsia="宋体" w:cs="宋体"/>
          <w:b w:val="0"/>
          <w:bCs w:val="0"/>
          <w:i w:val="0"/>
          <w:iCs w:val="0"/>
          <w:caps w:val="0"/>
          <w:color w:val="000000" w:themeColor="text1"/>
          <w:spacing w:val="0"/>
          <w:sz w:val="30"/>
          <w:szCs w:val="30"/>
          <w:highlight w:val="yellow"/>
          <w:shd w:val="clear" w:fill="FFFFFF"/>
          <w14:textFill>
            <w14:solidFill>
              <w14:schemeClr w14:val="tx1"/>
            </w14:solidFill>
          </w14:textFill>
        </w:rPr>
      </w:pPr>
      <w:bookmarkStart w:id="0" w:name="_GoBack"/>
      <w:bookmarkEnd w:id="0"/>
    </w:p>
    <w:p w14:paraId="39BC813B">
      <w:pPr>
        <w:tabs>
          <w:tab w:val="left" w:pos="7655"/>
        </w:tabs>
        <w:spacing w:line="520" w:lineRule="exact"/>
        <w:ind w:firstLine="140" w:firstLineChars="50"/>
      </w:pPr>
      <w:r>
        <w:rPr>
          <w:rFonts w:hint="eastAsia" w:ascii="仿宋_GB2312" w:hAnsi="仿宋_GB2312" w:eastAsia="仿宋_GB2312" w:cs="仿宋_GB2312"/>
          <w:b w:val="0"/>
          <w:bCs w:val="0"/>
          <w:kern w:val="0"/>
          <w:sz w:val="28"/>
          <w:szCs w:val="2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332740</wp:posOffset>
                </wp:positionV>
                <wp:extent cx="5800725"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58007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26.2pt;height:0pt;width:456.75pt;z-index:251660288;mso-width-relative:page;mso-height-relative:page;" filled="f" stroked="t" coordsize="21600,21600" o:gfxdata="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BX5Xd7UAAAABgEAAA8AAAAAAAAAAQAgAAAAIgAAAGRycy9kb3ducmV2LnhtbFBLAQIUABQA&#10;AAAIAIdO4kBkThQQ9AEAAOQDAAAOAAAAAAAAAAEAIAAAACMBAABkcnMvZTJvRG9jLnhtbFBLBQYA&#10;AAAABgAGAFkBAACJBQAAAAA=&#10;">
                <v:fill on="f" focussize="0,0"/>
                <v:stroke color="#000000" joinstyle="round"/>
                <v:imagedata o:title=""/>
                <o:lock v:ext="edit" aspectratio="f"/>
              </v:line>
            </w:pict>
          </mc:Fallback>
        </mc:AlternateContent>
      </w:r>
      <w:r>
        <w:rPr>
          <w:rFonts w:hint="eastAsia" w:ascii="仿宋_GB2312" w:hAnsi="仿宋_GB2312" w:eastAsia="仿宋_GB2312" w:cs="仿宋_GB2312"/>
          <w:b w:val="0"/>
          <w:bCs w:val="0"/>
          <w:kern w:val="0"/>
          <w:sz w:val="28"/>
          <w:szCs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35560</wp:posOffset>
                </wp:positionV>
                <wp:extent cx="5800725" cy="0"/>
                <wp:effectExtent l="0" t="4445" r="0" b="5080"/>
                <wp:wrapNone/>
                <wp:docPr id="1" name="直接连接符 1"/>
                <wp:cNvGraphicFramePr/>
                <a:graphic xmlns:a="http://schemas.openxmlformats.org/drawingml/2006/main">
                  <a:graphicData uri="http://schemas.microsoft.com/office/word/2010/wordprocessingShape">
                    <wps:wsp>
                      <wps:cNvCnPr/>
                      <wps:spPr>
                        <a:xfrm>
                          <a:off x="0" y="0"/>
                          <a:ext cx="58007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2.8pt;height:0pt;width:456.75pt;z-index:251659264;mso-width-relative:page;mso-height-relative:page;" filled="f" stroked="t" coordsize="21600,21600" o:gfxdata="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FEYKu0wAAAAQBAAAPAAAAAAAAAAEAIAAAACIAAABkcnMvZG93bnJldi54bWxQSwECFAAUAAAA&#10;CACHTuJAV/O4p/MBAADkAwAADgAAAAAAAAABACAAAAAiAQAAZHJzL2Uyb0RvYy54bWxQSwUGAAAA&#10;AAYABgBZAQAAhwUAAAAA&#10;">
                <v:fill on="f" focussize="0,0"/>
                <v:stroke color="#000000" joinstyle="round"/>
                <v:imagedata o:title=""/>
                <o:lock v:ext="edit" aspectratio="f"/>
              </v:line>
            </w:pict>
          </mc:Fallback>
        </mc:AlternateContent>
      </w:r>
      <w:r>
        <w:rPr>
          <w:rFonts w:hint="eastAsia" w:ascii="仿宋_GB2312" w:hAnsi="仿宋_GB2312" w:eastAsia="仿宋_GB2312" w:cs="仿宋_GB2312"/>
          <w:b w:val="0"/>
          <w:bCs w:val="0"/>
          <w:kern w:val="0"/>
          <w:sz w:val="28"/>
          <w:szCs w:val="28"/>
        </w:rPr>
        <w:t xml:space="preserve">中卫市生态环境局海原县分局   </w:t>
      </w:r>
      <w:r>
        <w:rPr>
          <w:rFonts w:hint="eastAsia" w:ascii="仿宋_GB2312" w:hAnsi="仿宋_GB2312" w:eastAsia="仿宋_GB2312" w:cs="仿宋_GB2312"/>
          <w:b w:val="0"/>
          <w:bCs w:val="0"/>
          <w:kern w:val="0"/>
          <w:sz w:val="28"/>
          <w:szCs w:val="28"/>
          <w:lang w:val="en-US" w:eastAsia="zh-CN"/>
        </w:rPr>
        <w:t xml:space="preserve">     </w:t>
      </w:r>
      <w:r>
        <w:rPr>
          <w:rFonts w:hint="eastAsia" w:ascii="仿宋_GB2312" w:hAnsi="仿宋_GB2312" w:eastAsia="仿宋_GB2312" w:cs="仿宋_GB2312"/>
          <w:b w:val="0"/>
          <w:bCs w:val="0"/>
          <w:kern w:val="0"/>
          <w:sz w:val="28"/>
          <w:szCs w:val="28"/>
          <w:highlight w:val="none"/>
          <w:lang w:val="en-US" w:eastAsia="zh-CN"/>
        </w:rPr>
        <w:t xml:space="preserve">        </w:t>
      </w:r>
      <w:r>
        <w:rPr>
          <w:rFonts w:hint="eastAsia" w:ascii="仿宋_GB2312" w:hAnsi="仿宋_GB2312" w:eastAsia="仿宋_GB2312" w:cs="仿宋_GB2312"/>
          <w:b w:val="0"/>
          <w:bCs w:val="0"/>
          <w:kern w:val="0"/>
          <w:sz w:val="28"/>
          <w:szCs w:val="28"/>
          <w:highlight w:val="none"/>
        </w:rPr>
        <w:t>202</w:t>
      </w:r>
      <w:r>
        <w:rPr>
          <w:rFonts w:hint="eastAsia" w:ascii="仿宋_GB2312" w:hAnsi="仿宋_GB2312" w:eastAsia="仿宋_GB2312" w:cs="仿宋_GB2312"/>
          <w:b w:val="0"/>
          <w:bCs w:val="0"/>
          <w:kern w:val="0"/>
          <w:sz w:val="28"/>
          <w:szCs w:val="28"/>
          <w:highlight w:val="none"/>
          <w:lang w:val="en-US" w:eastAsia="zh-CN"/>
        </w:rPr>
        <w:t>6</w:t>
      </w:r>
      <w:r>
        <w:rPr>
          <w:rFonts w:hint="eastAsia" w:ascii="仿宋_GB2312" w:hAnsi="仿宋_GB2312" w:eastAsia="仿宋_GB2312" w:cs="仿宋_GB2312"/>
          <w:b w:val="0"/>
          <w:bCs w:val="0"/>
          <w:kern w:val="0"/>
          <w:sz w:val="28"/>
          <w:szCs w:val="28"/>
          <w:highlight w:val="none"/>
        </w:rPr>
        <w:t>年</w:t>
      </w:r>
      <w:r>
        <w:rPr>
          <w:rFonts w:hint="eastAsia" w:ascii="仿宋_GB2312" w:hAnsi="仿宋_GB2312" w:eastAsia="仿宋_GB2312" w:cs="仿宋_GB2312"/>
          <w:b w:val="0"/>
          <w:bCs w:val="0"/>
          <w:kern w:val="0"/>
          <w:sz w:val="28"/>
          <w:szCs w:val="28"/>
          <w:highlight w:val="none"/>
          <w:lang w:val="en-US" w:eastAsia="zh-CN"/>
        </w:rPr>
        <w:t>9</w:t>
      </w:r>
      <w:r>
        <w:rPr>
          <w:rFonts w:hint="eastAsia" w:ascii="仿宋_GB2312" w:hAnsi="仿宋_GB2312" w:eastAsia="仿宋_GB2312" w:cs="仿宋_GB2312"/>
          <w:b w:val="0"/>
          <w:bCs w:val="0"/>
          <w:kern w:val="0"/>
          <w:sz w:val="28"/>
          <w:szCs w:val="28"/>
          <w:highlight w:val="none"/>
        </w:rPr>
        <w:t>月</w:t>
      </w:r>
      <w:r>
        <w:rPr>
          <w:rFonts w:hint="eastAsia" w:ascii="仿宋_GB2312" w:hAnsi="仿宋_GB2312" w:eastAsia="仿宋_GB2312" w:cs="仿宋_GB2312"/>
          <w:b w:val="0"/>
          <w:bCs w:val="0"/>
          <w:kern w:val="0"/>
          <w:sz w:val="28"/>
          <w:szCs w:val="28"/>
          <w:highlight w:val="none"/>
          <w:lang w:val="en-US" w:eastAsia="zh-CN"/>
        </w:rPr>
        <w:t>7</w:t>
      </w:r>
      <w:r>
        <w:rPr>
          <w:rFonts w:hint="eastAsia" w:ascii="仿宋_GB2312" w:hAnsi="仿宋_GB2312" w:eastAsia="仿宋_GB2312" w:cs="仿宋_GB2312"/>
          <w:b w:val="0"/>
          <w:bCs w:val="0"/>
          <w:kern w:val="0"/>
          <w:sz w:val="28"/>
          <w:szCs w:val="28"/>
          <w:highlight w:val="none"/>
        </w:rPr>
        <w:t>日印发</w:t>
      </w:r>
    </w:p>
    <w:sectPr>
      <w:pgSz w:w="11906" w:h="16838"/>
      <w:pgMar w:top="1440" w:right="1474" w:bottom="1247"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roman"/>
    <w:pitch w:val="default"/>
    <w:sig w:usb0="E0002AFF" w:usb1="C0007841"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国标楷体">
    <w:panose1 w:val="02000500000000000000"/>
    <w:charset w:val="86"/>
    <w:family w:val="auto"/>
    <w:pitch w:val="default"/>
    <w:sig w:usb0="00000001" w:usb1="08000000" w:usb2="00000000" w:usb3="00000000" w:csb0="00060007"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Music">
    <w:panose1 w:val="020B0502040504020204"/>
    <w:charset w:val="00"/>
    <w:family w:val="auto"/>
    <w:pitch w:val="default"/>
    <w:sig w:usb0="00000003" w:usb1="02006000" w:usb2="01000000" w:usb3="00000000" w:csb0="00000001"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BC5388"/>
    <w:multiLevelType w:val="singleLevel"/>
    <w:tmpl w:val="BCBC5388"/>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969AD"/>
    <w:rsid w:val="00F31F0D"/>
    <w:rsid w:val="029B6D3E"/>
    <w:rsid w:val="05594913"/>
    <w:rsid w:val="06D870D9"/>
    <w:rsid w:val="0A5A33E4"/>
    <w:rsid w:val="0BB7550F"/>
    <w:rsid w:val="0ECA4A1A"/>
    <w:rsid w:val="11502A80"/>
    <w:rsid w:val="12B72298"/>
    <w:rsid w:val="1461070D"/>
    <w:rsid w:val="15130EC7"/>
    <w:rsid w:val="159266A5"/>
    <w:rsid w:val="17571954"/>
    <w:rsid w:val="1A7F4006"/>
    <w:rsid w:val="1B216501"/>
    <w:rsid w:val="1BA60C44"/>
    <w:rsid w:val="1CF33ECD"/>
    <w:rsid w:val="1D991D9B"/>
    <w:rsid w:val="1F2760B0"/>
    <w:rsid w:val="208005A2"/>
    <w:rsid w:val="21A77AE0"/>
    <w:rsid w:val="21C30312"/>
    <w:rsid w:val="23983A20"/>
    <w:rsid w:val="25C725E1"/>
    <w:rsid w:val="28D41056"/>
    <w:rsid w:val="291C47AB"/>
    <w:rsid w:val="2A047719"/>
    <w:rsid w:val="2B664B96"/>
    <w:rsid w:val="2B786611"/>
    <w:rsid w:val="2B994ABB"/>
    <w:rsid w:val="2BDA2E28"/>
    <w:rsid w:val="2E304183"/>
    <w:rsid w:val="2F2B74F6"/>
    <w:rsid w:val="30FC739C"/>
    <w:rsid w:val="354D6418"/>
    <w:rsid w:val="37E33064"/>
    <w:rsid w:val="387B56F8"/>
    <w:rsid w:val="38B247E4"/>
    <w:rsid w:val="399C089A"/>
    <w:rsid w:val="3A485400"/>
    <w:rsid w:val="3AE72E6B"/>
    <w:rsid w:val="3BC136BC"/>
    <w:rsid w:val="3C5C33E5"/>
    <w:rsid w:val="3D0C4E0B"/>
    <w:rsid w:val="3DDB658B"/>
    <w:rsid w:val="3E300685"/>
    <w:rsid w:val="3EC86B10"/>
    <w:rsid w:val="3ECD1700"/>
    <w:rsid w:val="41285F8B"/>
    <w:rsid w:val="416A65A4"/>
    <w:rsid w:val="420A743F"/>
    <w:rsid w:val="435E1880"/>
    <w:rsid w:val="439B4196"/>
    <w:rsid w:val="45660E30"/>
    <w:rsid w:val="458D460F"/>
    <w:rsid w:val="4670225D"/>
    <w:rsid w:val="479559FD"/>
    <w:rsid w:val="483E2271"/>
    <w:rsid w:val="49F44C5D"/>
    <w:rsid w:val="4AEE309E"/>
    <w:rsid w:val="4B541076"/>
    <w:rsid w:val="4BD905AE"/>
    <w:rsid w:val="4C485734"/>
    <w:rsid w:val="4C4D2D4A"/>
    <w:rsid w:val="4D1200F4"/>
    <w:rsid w:val="4D5A74CD"/>
    <w:rsid w:val="4D7F33D7"/>
    <w:rsid w:val="4E8A5B90"/>
    <w:rsid w:val="51893482"/>
    <w:rsid w:val="53D855EF"/>
    <w:rsid w:val="54662BFB"/>
    <w:rsid w:val="548425E3"/>
    <w:rsid w:val="55020B76"/>
    <w:rsid w:val="58EB7B73"/>
    <w:rsid w:val="59D40607"/>
    <w:rsid w:val="5BC8419B"/>
    <w:rsid w:val="5BF22FC6"/>
    <w:rsid w:val="6267026A"/>
    <w:rsid w:val="62F45876"/>
    <w:rsid w:val="6408782B"/>
    <w:rsid w:val="644834C9"/>
    <w:rsid w:val="66157F52"/>
    <w:rsid w:val="66A64089"/>
    <w:rsid w:val="6A59002F"/>
    <w:rsid w:val="6A7D8B7F"/>
    <w:rsid w:val="6C12102A"/>
    <w:rsid w:val="6D925F31"/>
    <w:rsid w:val="6E296D1B"/>
    <w:rsid w:val="6E985C4F"/>
    <w:rsid w:val="6FFE9A33"/>
    <w:rsid w:val="70103B08"/>
    <w:rsid w:val="713D3EEF"/>
    <w:rsid w:val="75E55C1E"/>
    <w:rsid w:val="780132C5"/>
    <w:rsid w:val="786FE0A9"/>
    <w:rsid w:val="79B46241"/>
    <w:rsid w:val="7E9006F1"/>
    <w:rsid w:val="7F7BCDB5"/>
    <w:rsid w:val="7FA51BD1"/>
    <w:rsid w:val="7FEA3E31"/>
    <w:rsid w:val="A5EF3CA6"/>
    <w:rsid w:val="CC7DEFC6"/>
    <w:rsid w:val="D7FBCC06"/>
    <w:rsid w:val="E7B32C26"/>
    <w:rsid w:val="E7CF511C"/>
    <w:rsid w:val="E7FE9C2C"/>
    <w:rsid w:val="F7DC9C2E"/>
    <w:rsid w:val="F9BD95F2"/>
    <w:rsid w:val="FDFFF4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 w:cs="仿宋"/>
      <w:b/>
      <w:bCs/>
      <w:kern w:val="16"/>
      <w:sz w:val="28"/>
      <w:szCs w:val="28"/>
      <w:lang w:val="en-US" w:eastAsia="zh-CN" w:bidi="ar-SA"/>
    </w:rPr>
  </w:style>
  <w:style w:type="paragraph" w:styleId="2">
    <w:name w:val="heading 2"/>
    <w:basedOn w:val="1"/>
    <w:next w:val="1"/>
    <w:qFormat/>
    <w:uiPriority w:val="0"/>
    <w:pPr>
      <w:keepNext/>
      <w:keepLines/>
      <w:spacing w:before="260" w:beforeLines="0" w:after="260" w:afterLines="0" w:line="415" w:lineRule="auto"/>
      <w:outlineLvl w:val="1"/>
    </w:pPr>
    <w:rPr>
      <w:rFonts w:ascii="Arial" w:hAnsi="Arial" w:eastAsia="黑体"/>
      <w:sz w:val="32"/>
      <w:szCs w:val="32"/>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kern w:val="0"/>
      <w:sz w:val="27"/>
      <w:szCs w:val="27"/>
      <w:lang w:val="en-US" w:eastAsia="zh-CN" w:bidi="ar"/>
    </w:rPr>
  </w:style>
  <w:style w:type="character" w:default="1" w:styleId="16">
    <w:name w:val="Default Paragraph Font"/>
    <w:autoRedefine/>
    <w:semiHidden/>
    <w:qFormat/>
    <w:uiPriority w:val="0"/>
  </w:style>
  <w:style w:type="table" w:default="1" w:styleId="14">
    <w:name w:val="Normal Table"/>
    <w:autoRedefine/>
    <w:semiHidden/>
    <w:qFormat/>
    <w:uiPriority w:val="0"/>
    <w:tblPr>
      <w:tblCellMar>
        <w:top w:w="0" w:type="dxa"/>
        <w:left w:w="108" w:type="dxa"/>
        <w:bottom w:w="0" w:type="dxa"/>
        <w:right w:w="108" w:type="dxa"/>
      </w:tblCellMar>
    </w:tblPr>
  </w:style>
  <w:style w:type="paragraph" w:styleId="4">
    <w:name w:val="Normal Indent"/>
    <w:basedOn w:val="1"/>
    <w:next w:val="5"/>
    <w:unhideWhenUsed/>
    <w:qFormat/>
    <w:uiPriority w:val="0"/>
    <w:pPr>
      <w:ind w:firstLine="420" w:firstLineChars="200"/>
    </w:pPr>
  </w:style>
  <w:style w:type="paragraph" w:customStyle="1" w:styleId="5">
    <w:name w:val="正文1"/>
    <w:basedOn w:val="1"/>
    <w:next w:val="1"/>
    <w:qFormat/>
    <w:uiPriority w:val="0"/>
    <w:pPr>
      <w:spacing w:line="360" w:lineRule="auto"/>
      <w:ind w:firstLine="480" w:firstLineChars="200"/>
    </w:pPr>
    <w:rPr>
      <w:kern w:val="0"/>
      <w:sz w:val="20"/>
      <w:szCs w:val="20"/>
    </w:rPr>
  </w:style>
  <w:style w:type="paragraph" w:styleId="6">
    <w:name w:val="index 5"/>
    <w:basedOn w:val="1"/>
    <w:next w:val="1"/>
    <w:qFormat/>
    <w:uiPriority w:val="0"/>
    <w:pPr>
      <w:ind w:left="1680"/>
    </w:pPr>
  </w:style>
  <w:style w:type="paragraph" w:styleId="7">
    <w:name w:val="Body Text Indent"/>
    <w:basedOn w:val="1"/>
    <w:next w:val="8"/>
    <w:qFormat/>
    <w:uiPriority w:val="0"/>
    <w:pPr>
      <w:autoSpaceDE w:val="0"/>
      <w:autoSpaceDN w:val="0"/>
      <w:adjustRightInd w:val="0"/>
      <w:spacing w:line="360" w:lineRule="auto"/>
      <w:ind w:firstLine="480" w:firstLineChars="200"/>
    </w:pPr>
    <w:rPr>
      <w:rFonts w:ascii="宋体" w:hAnsi="宋体"/>
      <w:kern w:val="0"/>
      <w:sz w:val="24"/>
      <w:szCs w:val="21"/>
    </w:rPr>
  </w:style>
  <w:style w:type="paragraph" w:customStyle="1" w:styleId="8">
    <w:name w:val="样式 正文文本缩进 + 行距: 1.5 倍行距"/>
    <w:basedOn w:val="7"/>
    <w:autoRedefine/>
    <w:qFormat/>
    <w:uiPriority w:val="0"/>
    <w:pPr>
      <w:ind w:left="90" w:leftChars="32" w:firstLine="560" w:firstLineChars="200"/>
    </w:pPr>
    <w:rPr>
      <w:rFonts w:ascii="Times New Roman" w:cs="宋体"/>
    </w:rPr>
  </w:style>
  <w:style w:type="paragraph" w:styleId="9">
    <w:name w:val="footer"/>
    <w:basedOn w:val="1"/>
    <w:next w:val="1"/>
    <w:qFormat/>
    <w:uiPriority w:val="0"/>
    <w:pPr>
      <w:tabs>
        <w:tab w:val="center" w:pos="4153"/>
        <w:tab w:val="right" w:pos="8306"/>
      </w:tabs>
      <w:snapToGrid w:val="0"/>
      <w:jc w:val="left"/>
    </w:pPr>
    <w:rPr>
      <w:sz w:val="18"/>
      <w:szCs w:val="18"/>
    </w:rPr>
  </w:style>
  <w:style w:type="paragraph" w:styleId="10">
    <w:name w:val="index heading"/>
    <w:basedOn w:val="1"/>
    <w:next w:val="11"/>
    <w:qFormat/>
    <w:uiPriority w:val="0"/>
    <w:rPr>
      <w:rFonts w:ascii="Arial" w:hAnsi="Arial"/>
    </w:rPr>
  </w:style>
  <w:style w:type="paragraph" w:styleId="11">
    <w:name w:val="index 1"/>
    <w:basedOn w:val="1"/>
    <w:next w:val="1"/>
    <w:qFormat/>
    <w:uiPriority w:val="0"/>
    <w:pPr>
      <w:adjustRightInd w:val="0"/>
      <w:spacing w:line="240" w:lineRule="atLeast"/>
      <w:jc w:val="center"/>
      <w:textAlignment w:val="baseline"/>
    </w:pPr>
    <w:rPr>
      <w:rFonts w:ascii="宋体" w:hAnsi="宋体"/>
      <w:kern w:val="0"/>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2"/>
    <w:basedOn w:val="1"/>
    <w:next w:val="1"/>
    <w:qFormat/>
    <w:uiPriority w:val="0"/>
    <w:pPr>
      <w:spacing w:after="120" w:line="240" w:lineRule="auto"/>
      <w:ind w:left="420" w:leftChars="200" w:firstLine="420"/>
    </w:pPr>
    <w:rPr>
      <w:szCs w:val="20"/>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page number"/>
    <w:basedOn w:val="16"/>
    <w:qFormat/>
    <w:uiPriority w:val="0"/>
  </w:style>
  <w:style w:type="paragraph" w:customStyle="1" w:styleId="18">
    <w:name w:val="表格"/>
    <w:basedOn w:val="4"/>
    <w:next w:val="1"/>
    <w:autoRedefine/>
    <w:qFormat/>
    <w:uiPriority w:val="0"/>
    <w:pPr>
      <w:adjustRightInd w:val="0"/>
      <w:snapToGrid w:val="0"/>
      <w:spacing w:beforeLines="10" w:afterLines="10" w:line="259" w:lineRule="auto"/>
      <w:jc w:val="center"/>
    </w:pPr>
    <w:rPr>
      <w:rFonts w:ascii="宋体"/>
      <w:kern w:val="0"/>
      <w:szCs w:val="20"/>
    </w:rPr>
  </w:style>
  <w:style w:type="paragraph" w:customStyle="1" w:styleId="19">
    <w:name w:val="Table Text"/>
    <w:basedOn w:val="1"/>
    <w:autoRedefine/>
    <w:semiHidden/>
    <w:qFormat/>
    <w:uiPriority w:val="0"/>
    <w:rPr>
      <w:rFonts w:ascii="宋体" w:hAnsi="宋体" w:eastAsia="宋体" w:cs="宋体"/>
      <w:sz w:val="24"/>
      <w:szCs w:val="24"/>
      <w:lang w:val="en-US" w:eastAsia="en-US" w:bidi="ar-SA"/>
    </w:rPr>
  </w:style>
  <w:style w:type="paragraph" w:customStyle="1" w:styleId="20">
    <w:name w:val="正文首行缩进 21"/>
    <w:basedOn w:val="7"/>
    <w:next w:val="1"/>
    <w:autoRedefine/>
    <w:qFormat/>
    <w:uiPriority w:val="0"/>
    <w:pPr>
      <w:spacing w:before="100" w:beforeAutospacing="1"/>
      <w:ind w:firstLine="420"/>
    </w:pPr>
    <w:rPr>
      <w:rFonts w:cs="宋体"/>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1760</Words>
  <Characters>1859</Characters>
  <Lines>0</Lines>
  <Paragraphs>0</Paragraphs>
  <TotalTime>1</TotalTime>
  <ScaleCrop>false</ScaleCrop>
  <LinksUpToDate>false</LinksUpToDate>
  <CharactersWithSpaces>1880</CharactersWithSpaces>
  <Application>WPS Office_12.8.2.19825_F1E327BC-269C-435d-A152-05C5408002CA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2024-05-09T16:33:00Z</dcterms:created>
  <dc:creator>Administrator</dc:creator>
  <cp:lastModifiedBy>乔瑞鹏</cp:lastModifiedBy>
  <dcterms:modified xsi:type="dcterms:W3CDTF">2026-09-07T17:13:11Z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2052-12.8.2.19825</vt:lpwstr>
  </property>
  <property fmtid="{D5CDD505-2E9C-101B-9397-08002B2CF9AE}" pid="3" name="ICV">
    <vt:lpwstr>E421E3CD2DBF4BE8A6431F76398E21C2_12</vt:lpwstr>
  </property>
  <property fmtid="{D5CDD505-2E9C-101B-9397-08002B2CF9AE}" pid="4" name="KSOTemplateDocerSaveRecord">
    <vt:lpwstr>eyJoZGlkIjoiODcyYmYwMjQxZjI4ODdhM2VlMGIzNWRkMDgzNDA4NWIiLCJ1c2VySWQiOiIyNTMwMTQ3NzUifQ==</vt:lpwstr>
  </property>
</Properties>
</file>