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53AC7">
      <w:pPr>
        <w:keepNext w:val="0"/>
        <w:keepLines w:val="0"/>
        <w:pageBreakBefore w:val="0"/>
        <w:widowControl w:val="0"/>
        <w:kinsoku/>
        <w:wordWrap/>
        <w:overflowPunct/>
        <w:topLinePunct w:val="0"/>
        <w:autoSpaceDE/>
        <w:autoSpaceDN/>
        <w:bidi w:val="0"/>
        <w:adjustRightInd/>
        <w:snapToGrid/>
        <w:spacing w:line="720" w:lineRule="exact"/>
        <w:jc w:val="right"/>
        <w:textAlignment w:val="auto"/>
        <w:rPr>
          <w:rFonts w:hint="default" w:ascii="Times New Roman" w:hAnsi="Times New Roman" w:eastAsia="楷体" w:cs="Times New Roman"/>
          <w:b w:val="0"/>
          <w:bCs w:val="0"/>
          <w:kern w:val="2"/>
          <w:sz w:val="32"/>
          <w:szCs w:val="32"/>
        </w:rPr>
      </w:pPr>
    </w:p>
    <w:p w14:paraId="30E81360">
      <w:pPr>
        <w:keepNext w:val="0"/>
        <w:keepLines w:val="0"/>
        <w:pageBreakBefore w:val="0"/>
        <w:widowControl w:val="0"/>
        <w:kinsoku/>
        <w:wordWrap/>
        <w:overflowPunct/>
        <w:topLinePunct w:val="0"/>
        <w:autoSpaceDE/>
        <w:autoSpaceDN/>
        <w:bidi w:val="0"/>
        <w:adjustRightInd/>
        <w:snapToGrid/>
        <w:spacing w:line="720" w:lineRule="exact"/>
        <w:jc w:val="right"/>
        <w:textAlignment w:val="auto"/>
        <w:rPr>
          <w:rFonts w:hint="default" w:ascii="Times New Roman" w:hAnsi="Times New Roman" w:eastAsia="楷体" w:cs="Times New Roman"/>
          <w:b w:val="0"/>
          <w:bCs w:val="0"/>
          <w:kern w:val="2"/>
          <w:sz w:val="32"/>
          <w:szCs w:val="32"/>
        </w:rPr>
      </w:pPr>
    </w:p>
    <w:p w14:paraId="083BA222">
      <w:pPr>
        <w:keepNext w:val="0"/>
        <w:keepLines w:val="0"/>
        <w:pageBreakBefore w:val="0"/>
        <w:widowControl w:val="0"/>
        <w:kinsoku/>
        <w:wordWrap/>
        <w:overflowPunct/>
        <w:topLinePunct w:val="0"/>
        <w:autoSpaceDE/>
        <w:autoSpaceDN/>
        <w:bidi w:val="0"/>
        <w:adjustRightInd/>
        <w:snapToGrid/>
        <w:spacing w:line="720" w:lineRule="exact"/>
        <w:jc w:val="right"/>
        <w:textAlignment w:val="auto"/>
        <w:rPr>
          <w:rFonts w:hint="default" w:ascii="Times New Roman" w:hAnsi="Times New Roman" w:eastAsia="仿宋_GB2312" w:cs="Times New Roman"/>
          <w:b w:val="0"/>
          <w:bCs w:val="0"/>
          <w:color w:val="auto"/>
          <w:kern w:val="2"/>
          <w:sz w:val="32"/>
          <w:szCs w:val="32"/>
          <w:highlight w:val="none"/>
        </w:rPr>
      </w:pPr>
      <w:r>
        <w:rPr>
          <w:rFonts w:hint="default" w:ascii="Times New Roman" w:hAnsi="Times New Roman" w:eastAsia="仿宋_GB2312" w:cs="Times New Roman"/>
          <w:b w:val="0"/>
          <w:bCs w:val="0"/>
          <w:color w:val="auto"/>
          <w:kern w:val="2"/>
          <w:sz w:val="32"/>
          <w:szCs w:val="32"/>
          <w:highlight w:val="none"/>
        </w:rPr>
        <w:t>卫环海原分局函〔202</w:t>
      </w:r>
      <w:r>
        <w:rPr>
          <w:rFonts w:hint="default" w:ascii="Times New Roman" w:hAnsi="Times New Roman" w:eastAsia="仿宋_GB2312" w:cs="Times New Roman"/>
          <w:b w:val="0"/>
          <w:bCs w:val="0"/>
          <w:color w:val="auto"/>
          <w:kern w:val="2"/>
          <w:sz w:val="32"/>
          <w:szCs w:val="32"/>
          <w:highlight w:val="none"/>
          <w:lang w:val="en-US" w:eastAsia="zh-CN"/>
        </w:rPr>
        <w:t>6</w:t>
      </w:r>
      <w:r>
        <w:rPr>
          <w:rFonts w:hint="default" w:ascii="Times New Roman" w:hAnsi="Times New Roman" w:eastAsia="仿宋_GB2312" w:cs="Times New Roman"/>
          <w:b w:val="0"/>
          <w:bCs w:val="0"/>
          <w:color w:val="auto"/>
          <w:kern w:val="2"/>
          <w:sz w:val="32"/>
          <w:szCs w:val="32"/>
          <w:highlight w:val="none"/>
        </w:rPr>
        <w:t>〕</w:t>
      </w:r>
      <w:r>
        <w:rPr>
          <w:rFonts w:hint="default" w:ascii="Times New Roman" w:hAnsi="Times New Roman" w:eastAsia="仿宋_GB2312" w:cs="Times New Roman"/>
          <w:b w:val="0"/>
          <w:bCs w:val="0"/>
          <w:color w:val="auto"/>
          <w:kern w:val="2"/>
          <w:sz w:val="32"/>
          <w:szCs w:val="32"/>
          <w:highlight w:val="none"/>
          <w:lang w:val="en-US" w:eastAsia="zh-CN"/>
        </w:rPr>
        <w:t>15</w:t>
      </w:r>
      <w:r>
        <w:rPr>
          <w:rFonts w:hint="default" w:ascii="Times New Roman" w:hAnsi="Times New Roman" w:eastAsia="仿宋_GB2312" w:cs="Times New Roman"/>
          <w:b w:val="0"/>
          <w:bCs w:val="0"/>
          <w:color w:val="auto"/>
          <w:kern w:val="2"/>
          <w:sz w:val="32"/>
          <w:szCs w:val="32"/>
          <w:highlight w:val="none"/>
        </w:rPr>
        <w:t>号</w:t>
      </w:r>
    </w:p>
    <w:p w14:paraId="086D11DE">
      <w:pPr>
        <w:pStyle w:val="13"/>
        <w:keepNext w:val="0"/>
        <w:keepLines w:val="0"/>
        <w:pageBreakBefore w:val="0"/>
        <w:widowControl w:val="0"/>
        <w:kinsoku/>
        <w:wordWrap/>
        <w:overflowPunct/>
        <w:topLinePunct w:val="0"/>
        <w:autoSpaceDE/>
        <w:autoSpaceDN/>
        <w:bidi w:val="0"/>
        <w:adjustRightInd/>
        <w:snapToGrid/>
        <w:ind w:firstLine="1134"/>
        <w:textAlignment w:val="auto"/>
        <w:rPr>
          <w:rFonts w:hint="default" w:ascii="Times New Roman" w:hAnsi="Times New Roman" w:cs="Times New Roman"/>
          <w:color w:val="auto"/>
          <w:sz w:val="24"/>
          <w:szCs w:val="24"/>
        </w:rPr>
      </w:pPr>
    </w:p>
    <w:p w14:paraId="70D69C05">
      <w:pPr>
        <w:keepNext w:val="0"/>
        <w:keepLines w:val="0"/>
        <w:pageBreakBefore w:val="0"/>
        <w:widowControl/>
        <w:kinsoku/>
        <w:wordWrap/>
        <w:overflowPunct/>
        <w:topLinePunct w:val="0"/>
        <w:autoSpaceDE/>
        <w:autoSpaceDN/>
        <w:bidi w:val="0"/>
        <w:adjustRightInd/>
        <w:snapToGrid/>
        <w:spacing w:line="600" w:lineRule="exact"/>
        <w:jc w:val="center"/>
        <w:textAlignment w:val="center"/>
        <w:rPr>
          <w:rFonts w:hint="default" w:ascii="Times New Roman" w:hAnsi="Times New Roman" w:eastAsia="方正小标宋_GBK" w:cs="Times New Roman"/>
          <w:b w:val="0"/>
          <w:bCs w:val="0"/>
          <w:color w:val="auto"/>
          <w:kern w:val="2"/>
          <w:sz w:val="44"/>
          <w:szCs w:val="44"/>
          <w:lang w:val="en-US" w:eastAsia="zh-CN"/>
        </w:rPr>
      </w:pPr>
      <w:r>
        <w:rPr>
          <w:rFonts w:hint="default" w:ascii="Times New Roman" w:hAnsi="Times New Roman" w:eastAsia="方正小标宋_GBK" w:cs="Times New Roman"/>
          <w:b w:val="0"/>
          <w:bCs w:val="0"/>
          <w:color w:val="auto"/>
          <w:spacing w:val="6"/>
          <w:kern w:val="2"/>
          <w:sz w:val="44"/>
          <w:szCs w:val="44"/>
          <w:lang w:val="en-US" w:eastAsia="zh-CN"/>
        </w:rPr>
        <w:t>关于《海原县工业物流园区宇涛工贸有限公司</w:t>
      </w:r>
      <w:r>
        <w:rPr>
          <w:rFonts w:hint="default" w:ascii="Times New Roman" w:hAnsi="Times New Roman" w:eastAsia="方正小标宋_GBK" w:cs="Times New Roman"/>
          <w:b w:val="0"/>
          <w:bCs w:val="0"/>
          <w:color w:val="auto"/>
          <w:spacing w:val="-17"/>
          <w:kern w:val="2"/>
          <w:sz w:val="44"/>
          <w:szCs w:val="44"/>
          <w:lang w:val="en-US" w:eastAsia="zh-CN"/>
        </w:rPr>
        <w:t>拌合站扩建项目环境影响报告表》审批意见的函</w:t>
      </w:r>
    </w:p>
    <w:p w14:paraId="3F9D485F">
      <w:pPr>
        <w:keepNext w:val="0"/>
        <w:keepLines w:val="0"/>
        <w:pageBreakBefore w:val="0"/>
        <w:widowControl/>
        <w:kinsoku/>
        <w:wordWrap/>
        <w:overflowPunct/>
        <w:topLinePunct w:val="0"/>
        <w:autoSpaceDE/>
        <w:autoSpaceDN/>
        <w:bidi w:val="0"/>
        <w:adjustRightInd/>
        <w:snapToGrid/>
        <w:spacing w:line="600" w:lineRule="exact"/>
        <w:jc w:val="center"/>
        <w:textAlignment w:val="center"/>
        <w:rPr>
          <w:rFonts w:hint="default" w:ascii="Times New Roman" w:hAnsi="Times New Roman" w:eastAsia="方正小标宋_GBK" w:cs="Times New Roman"/>
          <w:b w:val="0"/>
          <w:bCs w:val="0"/>
          <w:color w:val="auto"/>
          <w:kern w:val="2"/>
          <w:sz w:val="44"/>
          <w:szCs w:val="44"/>
          <w:lang w:val="en-US" w:eastAsia="zh-CN"/>
        </w:rPr>
      </w:pPr>
    </w:p>
    <w:p w14:paraId="178E5D8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color w:val="auto"/>
          <w:kern w:val="2"/>
          <w:sz w:val="32"/>
          <w:szCs w:val="32"/>
          <w:lang w:bidi="en-US"/>
        </w:rPr>
      </w:pPr>
      <w:r>
        <w:rPr>
          <w:rFonts w:hint="default" w:ascii="Times New Roman" w:hAnsi="Times New Roman" w:eastAsia="仿宋_GB2312" w:cs="Times New Roman"/>
          <w:b w:val="0"/>
          <w:bCs/>
          <w:color w:val="auto"/>
          <w:kern w:val="2"/>
          <w:sz w:val="32"/>
          <w:szCs w:val="32"/>
          <w:lang w:val="en-US" w:eastAsia="zh-CN" w:bidi="en-US"/>
        </w:rPr>
        <w:t>海原县工业物流园区宇涛工贸有限公司：</w:t>
      </w:r>
    </w:p>
    <w:p w14:paraId="22571C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highlight w:val="none"/>
          <w:lang w:bidi="en-US"/>
        </w:rPr>
      </w:pPr>
      <w:r>
        <w:rPr>
          <w:rFonts w:hint="default" w:ascii="Times New Roman" w:hAnsi="Times New Roman" w:eastAsia="仿宋_GB2312" w:cs="Times New Roman"/>
          <w:b w:val="0"/>
          <w:bCs/>
          <w:color w:val="auto"/>
          <w:kern w:val="2"/>
          <w:sz w:val="32"/>
          <w:szCs w:val="32"/>
          <w:highlight w:val="none"/>
          <w:lang w:bidi="en-US"/>
        </w:rPr>
        <w:t>你单位报来的《关于申请审查、审批海原县工业物流园区宇涛工贸有限公司拌合站扩建项目环境影响报告表的函》</w:t>
      </w:r>
      <w:r>
        <w:rPr>
          <w:rFonts w:hint="default" w:ascii="Times New Roman" w:hAnsi="Times New Roman" w:eastAsia="仿宋_GB2312" w:cs="Times New Roman"/>
          <w:b w:val="0"/>
          <w:bCs w:val="0"/>
          <w:color w:val="auto"/>
          <w:spacing w:val="-6"/>
          <w:sz w:val="32"/>
          <w:szCs w:val="32"/>
          <w:highlight w:val="none"/>
          <w:lang w:val="en-US" w:eastAsia="zh-CN"/>
        </w:rPr>
        <w:t>及相关文件</w:t>
      </w:r>
      <w:r>
        <w:rPr>
          <w:rFonts w:hint="default" w:ascii="Times New Roman" w:hAnsi="Times New Roman" w:eastAsia="仿宋_GB2312" w:cs="Times New Roman"/>
          <w:b w:val="0"/>
          <w:bCs/>
          <w:color w:val="auto"/>
          <w:kern w:val="2"/>
          <w:sz w:val="32"/>
          <w:szCs w:val="32"/>
          <w:highlight w:val="none"/>
          <w:lang w:bidi="en-US"/>
        </w:rPr>
        <w:t>收悉。</w:t>
      </w:r>
      <w:r>
        <w:rPr>
          <w:rFonts w:hint="default" w:ascii="Times New Roman" w:hAnsi="Times New Roman" w:eastAsia="仿宋_GB2312" w:cs="Times New Roman"/>
          <w:b w:val="0"/>
          <w:bCs w:val="0"/>
          <w:color w:val="auto"/>
          <w:sz w:val="32"/>
          <w:szCs w:val="32"/>
          <w:highlight w:val="none"/>
          <w:lang w:val="en-US" w:eastAsia="zh-CN" w:bidi="en-US"/>
        </w:rPr>
        <w:t>根据专家评审小组意见，经研究，现将有关审批意见函复如下。</w:t>
      </w:r>
    </w:p>
    <w:p w14:paraId="20AED1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color w:val="auto"/>
          <w:kern w:val="2"/>
          <w:sz w:val="32"/>
          <w:szCs w:val="32"/>
          <w:lang w:bidi="en-US"/>
        </w:rPr>
      </w:pPr>
      <w:r>
        <w:rPr>
          <w:rFonts w:hint="default" w:ascii="Times New Roman" w:hAnsi="Times New Roman" w:eastAsia="黑体" w:cs="Times New Roman"/>
          <w:b w:val="0"/>
          <w:bCs/>
          <w:color w:val="auto"/>
          <w:kern w:val="2"/>
          <w:sz w:val="32"/>
          <w:szCs w:val="32"/>
          <w:lang w:bidi="en-US"/>
        </w:rPr>
        <w:t>一、</w:t>
      </w:r>
      <w:r>
        <w:rPr>
          <w:rFonts w:hint="default" w:ascii="Times New Roman" w:hAnsi="Times New Roman" w:eastAsia="黑体" w:cs="Times New Roman"/>
          <w:b w:val="0"/>
          <w:bCs/>
          <w:color w:val="auto"/>
          <w:kern w:val="2"/>
          <w:sz w:val="32"/>
          <w:szCs w:val="32"/>
          <w:lang w:val="en-US" w:eastAsia="zh-CN" w:bidi="en-US"/>
        </w:rPr>
        <w:t>项目</w:t>
      </w:r>
      <w:r>
        <w:rPr>
          <w:rFonts w:hint="default" w:ascii="Times New Roman" w:hAnsi="Times New Roman" w:eastAsia="黑体" w:cs="Times New Roman"/>
          <w:b w:val="0"/>
          <w:bCs/>
          <w:color w:val="auto"/>
          <w:kern w:val="2"/>
          <w:sz w:val="32"/>
          <w:szCs w:val="32"/>
          <w:lang w:bidi="en-US"/>
        </w:rPr>
        <w:t>基本情况</w:t>
      </w:r>
    </w:p>
    <w:p w14:paraId="462FDD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highlight w:val="none"/>
          <w:lang w:val="en-US" w:eastAsia="zh-CN" w:bidi="en-US"/>
        </w:rPr>
      </w:pPr>
      <w:r>
        <w:rPr>
          <w:rFonts w:hint="default" w:ascii="Times New Roman" w:hAnsi="Times New Roman" w:eastAsia="仿宋_GB2312" w:cs="Times New Roman"/>
          <w:b w:val="0"/>
          <w:bCs/>
          <w:color w:val="auto"/>
          <w:kern w:val="2"/>
          <w:sz w:val="32"/>
          <w:szCs w:val="32"/>
          <w:lang w:val="en-US" w:eastAsia="zh-CN" w:bidi="en-US"/>
        </w:rPr>
        <w:t>项目位于宁夏回族自治区中卫市海原县</w:t>
      </w:r>
      <w:r>
        <w:rPr>
          <w:rFonts w:hint="default" w:ascii="Times New Roman" w:hAnsi="Times New Roman" w:eastAsia="仿宋_GB2312" w:cs="Times New Roman"/>
          <w:b w:val="0"/>
          <w:bCs/>
          <w:color w:val="auto"/>
          <w:kern w:val="2"/>
          <w:sz w:val="32"/>
          <w:szCs w:val="32"/>
          <w:highlight w:val="none"/>
          <w:lang w:val="en-US" w:eastAsia="zh-CN" w:bidi="en-US"/>
        </w:rPr>
        <w:t>海兴开发区工业物流园区宇涛工贸有限公司厂区内，地理坐标为东经106°5′56.685″，北纬36°21′7.230″</w:t>
      </w:r>
      <w:r>
        <w:rPr>
          <w:rFonts w:hint="eastAsia" w:ascii="Times New Roman" w:hAnsi="Times New Roman" w:eastAsia="仿宋_GB2312" w:cs="Times New Roman"/>
          <w:b w:val="0"/>
          <w:bCs/>
          <w:color w:val="auto"/>
          <w:kern w:val="2"/>
          <w:sz w:val="32"/>
          <w:szCs w:val="32"/>
          <w:highlight w:val="none"/>
          <w:lang w:val="en-US" w:eastAsia="zh-CN" w:bidi="en-US"/>
        </w:rPr>
        <w:t>，为</w:t>
      </w:r>
      <w:r>
        <w:rPr>
          <w:rFonts w:hint="default" w:ascii="Times New Roman" w:hAnsi="Times New Roman" w:eastAsia="仿宋_GB2312" w:cs="Times New Roman"/>
          <w:b w:val="0"/>
          <w:bCs/>
          <w:color w:val="auto"/>
          <w:kern w:val="2"/>
          <w:sz w:val="32"/>
          <w:szCs w:val="32"/>
          <w:highlight w:val="none"/>
          <w:lang w:val="en-US" w:eastAsia="zh-CN" w:bidi="en-US"/>
        </w:rPr>
        <w:t>未批先建项目</w:t>
      </w:r>
      <w:r>
        <w:rPr>
          <w:rFonts w:hint="eastAsia" w:ascii="Times New Roman" w:hAnsi="Times New Roman" w:eastAsia="仿宋_GB2312" w:cs="Times New Roman"/>
          <w:b w:val="0"/>
          <w:bCs/>
          <w:color w:val="auto"/>
          <w:kern w:val="2"/>
          <w:sz w:val="32"/>
          <w:szCs w:val="32"/>
          <w:highlight w:val="none"/>
          <w:lang w:val="en-US" w:eastAsia="zh-CN" w:bidi="en-US"/>
        </w:rPr>
        <w:t>。</w:t>
      </w:r>
      <w:r>
        <w:rPr>
          <w:rFonts w:hint="default" w:ascii="Times New Roman" w:hAnsi="Times New Roman" w:eastAsia="仿宋_GB2312" w:cs="Times New Roman"/>
          <w:b w:val="0"/>
          <w:bCs/>
          <w:color w:val="auto"/>
          <w:kern w:val="2"/>
          <w:sz w:val="32"/>
          <w:szCs w:val="32"/>
          <w:highlight w:val="none"/>
          <w:lang w:val="en-US" w:eastAsia="zh-CN" w:bidi="en-US"/>
        </w:rPr>
        <w:t>企业原有1条年产20万m</w:t>
      </w:r>
      <w:r>
        <w:rPr>
          <w:rFonts w:hint="default" w:ascii="Times New Roman" w:hAnsi="Times New Roman" w:eastAsia="仿宋_GB2312" w:cs="Times New Roman"/>
          <w:b w:val="0"/>
          <w:bCs/>
          <w:color w:val="auto"/>
          <w:kern w:val="2"/>
          <w:sz w:val="32"/>
          <w:szCs w:val="32"/>
          <w:highlight w:val="none"/>
          <w:vertAlign w:val="superscript"/>
          <w:lang w:val="en-US" w:eastAsia="zh-CN" w:bidi="en-US"/>
        </w:rPr>
        <w:t>3</w:t>
      </w:r>
      <w:r>
        <w:rPr>
          <w:rFonts w:hint="default" w:ascii="Times New Roman" w:hAnsi="Times New Roman" w:eastAsia="仿宋_GB2312" w:cs="Times New Roman"/>
          <w:b w:val="0"/>
          <w:bCs/>
          <w:color w:val="auto"/>
          <w:kern w:val="2"/>
          <w:sz w:val="32"/>
          <w:szCs w:val="32"/>
          <w:highlight w:val="none"/>
          <w:lang w:val="en-US" w:eastAsia="zh-CN" w:bidi="en-US"/>
        </w:rPr>
        <w:t>商品混凝土生产线，于2019年建设完成并投产</w:t>
      </w:r>
      <w:r>
        <w:rPr>
          <w:rFonts w:hint="eastAsia" w:ascii="Times New Roman" w:hAnsi="Times New Roman" w:eastAsia="仿宋_GB2312" w:cs="Times New Roman"/>
          <w:b w:val="0"/>
          <w:bCs/>
          <w:color w:val="auto"/>
          <w:kern w:val="2"/>
          <w:sz w:val="32"/>
          <w:szCs w:val="32"/>
          <w:highlight w:val="none"/>
          <w:lang w:val="en-US" w:eastAsia="zh-CN" w:bidi="en-US"/>
        </w:rPr>
        <w:t>；</w:t>
      </w:r>
      <w:r>
        <w:rPr>
          <w:rFonts w:hint="default" w:ascii="Times New Roman" w:hAnsi="Times New Roman" w:eastAsia="仿宋_GB2312" w:cs="Times New Roman"/>
          <w:b w:val="0"/>
          <w:bCs/>
          <w:color w:val="auto"/>
          <w:kern w:val="2"/>
          <w:sz w:val="32"/>
          <w:szCs w:val="32"/>
          <w:highlight w:val="none"/>
          <w:lang w:val="en-US" w:eastAsia="zh-CN" w:bidi="en-US"/>
        </w:rPr>
        <w:t>本次扩建1条年产10万</w:t>
      </w:r>
      <w:r>
        <w:rPr>
          <w:rFonts w:hint="default" w:ascii="Times New Roman" w:hAnsi="Times New Roman" w:eastAsia="仿宋_GB2312" w:cs="Times New Roman"/>
          <w:b w:val="0"/>
          <w:bCs/>
          <w:color w:val="auto"/>
          <w:kern w:val="2"/>
          <w:sz w:val="32"/>
          <w:szCs w:val="32"/>
          <w:lang w:val="en-US" w:eastAsia="zh-CN" w:bidi="en-US"/>
        </w:rPr>
        <w:t>m</w:t>
      </w:r>
      <w:r>
        <w:rPr>
          <w:rFonts w:hint="default" w:ascii="Times New Roman" w:hAnsi="Times New Roman" w:eastAsia="仿宋_GB2312" w:cs="Times New Roman"/>
          <w:b w:val="0"/>
          <w:bCs/>
          <w:color w:val="auto"/>
          <w:kern w:val="2"/>
          <w:sz w:val="32"/>
          <w:szCs w:val="32"/>
          <w:vertAlign w:val="superscript"/>
          <w:lang w:val="en-US" w:eastAsia="zh-CN" w:bidi="en-US"/>
        </w:rPr>
        <w:t>3</w:t>
      </w:r>
      <w:r>
        <w:rPr>
          <w:rFonts w:hint="default" w:ascii="Times New Roman" w:hAnsi="Times New Roman" w:eastAsia="仿宋_GB2312" w:cs="Times New Roman"/>
          <w:b w:val="0"/>
          <w:bCs/>
          <w:color w:val="auto"/>
          <w:kern w:val="2"/>
          <w:sz w:val="32"/>
          <w:szCs w:val="32"/>
          <w:highlight w:val="none"/>
          <w:lang w:val="en-US" w:eastAsia="zh-CN" w:bidi="en-US"/>
        </w:rPr>
        <w:t>商品混凝土生产线，项目建成后全厂混凝土产能将增至30万</w:t>
      </w:r>
      <w:r>
        <w:rPr>
          <w:rFonts w:hint="default" w:ascii="Times New Roman" w:hAnsi="Times New Roman" w:eastAsia="仿宋_GB2312" w:cs="Times New Roman"/>
          <w:b w:val="0"/>
          <w:bCs/>
          <w:color w:val="auto"/>
          <w:kern w:val="2"/>
          <w:sz w:val="32"/>
          <w:szCs w:val="32"/>
          <w:lang w:val="en-US" w:eastAsia="zh-CN" w:bidi="en-US"/>
        </w:rPr>
        <w:t>m</w:t>
      </w:r>
      <w:r>
        <w:rPr>
          <w:rFonts w:hint="default" w:ascii="Times New Roman" w:hAnsi="Times New Roman" w:eastAsia="仿宋_GB2312" w:cs="Times New Roman"/>
          <w:b w:val="0"/>
          <w:bCs/>
          <w:color w:val="auto"/>
          <w:kern w:val="2"/>
          <w:sz w:val="32"/>
          <w:szCs w:val="32"/>
          <w:vertAlign w:val="superscript"/>
          <w:lang w:val="en-US" w:eastAsia="zh-CN" w:bidi="en-US"/>
        </w:rPr>
        <w:t>3</w:t>
      </w:r>
      <w:r>
        <w:rPr>
          <w:rFonts w:hint="default" w:ascii="Times New Roman" w:hAnsi="Times New Roman" w:eastAsia="仿宋_GB2312" w:cs="Times New Roman"/>
          <w:b w:val="0"/>
          <w:bCs/>
          <w:color w:val="auto"/>
          <w:kern w:val="2"/>
          <w:sz w:val="32"/>
          <w:szCs w:val="32"/>
          <w:highlight w:val="none"/>
          <w:lang w:val="en-US" w:eastAsia="zh-CN" w:bidi="en-US"/>
        </w:rPr>
        <w:t>。项目总投资200万元，其中环保投资14万元，占总投资的7.0%，环保投资主要用于废气、废水、噪声、固废治理等。</w:t>
      </w:r>
    </w:p>
    <w:p w14:paraId="432B23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highlight w:val="none"/>
          <w:lang w:val="en-US" w:eastAsia="zh-CN" w:bidi="en-US"/>
        </w:rPr>
        <w:t>根据《产业结构调整指导目录（2024年本）》（中华人民共和国国家发展和改革委员会令第7号），项目不属于鼓励类、限制类、淘汰类项目，属于允许类项目。</w:t>
      </w:r>
      <w:r>
        <w:rPr>
          <w:rFonts w:hint="default" w:ascii="Times New Roman" w:hAnsi="Times New Roman" w:eastAsia="仿宋_GB2312" w:cs="Times New Roman"/>
          <w:b w:val="0"/>
          <w:bCs/>
          <w:color w:val="auto"/>
          <w:kern w:val="2"/>
          <w:sz w:val="32"/>
          <w:szCs w:val="32"/>
          <w:lang w:val="en-US" w:eastAsia="zh-CN" w:bidi="en-US"/>
        </w:rPr>
        <w:t>经评估审查，该项目建设符合国家、自治区相关政策规划，在落实《海原县工业物流园区宇涛工贸有限公司拌合站扩建项目环境影响报告表》（以下简称《报告表》）提出的各项污染防治措施的基础上，同意你单位按照《报告表》中所列建设项目的性质、规模、地点、环境保护对策措施等进行项目建设。</w:t>
      </w:r>
    </w:p>
    <w:p w14:paraId="216225F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kern w:val="2"/>
          <w:sz w:val="32"/>
          <w:szCs w:val="32"/>
          <w:highlight w:val="none"/>
          <w:lang w:bidi="en-US"/>
        </w:rPr>
      </w:pPr>
      <w:r>
        <w:rPr>
          <w:rFonts w:hint="default" w:ascii="Times New Roman" w:hAnsi="Times New Roman" w:eastAsia="黑体" w:cs="Times New Roman"/>
          <w:b w:val="0"/>
          <w:bCs w:val="0"/>
          <w:color w:val="auto"/>
          <w:kern w:val="2"/>
          <w:sz w:val="32"/>
          <w:szCs w:val="32"/>
          <w:lang w:bidi="en-US"/>
        </w:rPr>
        <w:t>项目建设环境影响控</w:t>
      </w:r>
      <w:r>
        <w:rPr>
          <w:rFonts w:hint="default" w:ascii="Times New Roman" w:hAnsi="Times New Roman" w:eastAsia="黑体" w:cs="Times New Roman"/>
          <w:b w:val="0"/>
          <w:bCs w:val="0"/>
          <w:color w:val="auto"/>
          <w:kern w:val="2"/>
          <w:sz w:val="32"/>
          <w:szCs w:val="32"/>
          <w:highlight w:val="none"/>
          <w:lang w:bidi="en-US"/>
        </w:rPr>
        <w:t>制主要措施</w:t>
      </w:r>
    </w:p>
    <w:p w14:paraId="2020B5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highlight w:val="none"/>
          <w:lang w:val="en-US" w:eastAsia="zh-CN" w:bidi="en-US"/>
        </w:rPr>
      </w:pPr>
      <w:r>
        <w:rPr>
          <w:rFonts w:hint="default" w:ascii="Times New Roman" w:hAnsi="Times New Roman" w:eastAsia="楷体_GB2312" w:cs="Times New Roman"/>
          <w:b/>
          <w:bCs w:val="0"/>
          <w:color w:val="auto"/>
          <w:kern w:val="2"/>
          <w:sz w:val="32"/>
          <w:szCs w:val="32"/>
          <w:highlight w:val="none"/>
          <w:lang w:val="en-US" w:eastAsia="zh-CN" w:bidi="en-US"/>
        </w:rPr>
        <w:t>（一）严格落实《报告表》提出的废气防治措施。</w:t>
      </w:r>
    </w:p>
    <w:p w14:paraId="2A8061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highlight w:val="none"/>
          <w:lang w:val="en-US" w:eastAsia="zh-CN" w:bidi="en-US"/>
        </w:rPr>
      </w:pPr>
      <w:r>
        <w:rPr>
          <w:rFonts w:hint="default" w:ascii="Times New Roman" w:hAnsi="Times New Roman" w:eastAsia="仿宋_GB2312" w:cs="Times New Roman"/>
          <w:b w:val="0"/>
          <w:bCs/>
          <w:color w:val="auto"/>
          <w:kern w:val="2"/>
          <w:sz w:val="32"/>
          <w:szCs w:val="32"/>
          <w:highlight w:val="none"/>
          <w:lang w:val="en-US" w:eastAsia="zh-CN" w:bidi="en-US"/>
        </w:rPr>
        <w:t>运营期废气主要为骨料装卸废气、骨料上料废气、粉料储运废气、搅拌废气、运输起尘。水泥、粉煤灰筒仓粉料储运废气经各自仓顶上方振动滤芯式除尘器处理后高空排放；搅拌设备及搅拌工序配套布袋除尘器位于封闭式搅拌楼内，搅拌粉尘经布袋除尘器处理后，通过1根15m高排气筒（DA002）排放；骨料装卸废气经封闭式骨料棚、雾炮机喷雾降尘措施处理后无组织排放；骨料上料废气经封闭式上料棚、封闭式传送皮带、雾炮机喷雾降尘等措施处理后无组织排放；道路运输粉尘为无组织粉尘，通过厂区地面硬化、定期洒水清扫、设置洗车平台对进出厂区车辆轮胎进行冲洗等措施，能够有效降低道路运输粉尘排放量。</w:t>
      </w:r>
    </w:p>
    <w:p w14:paraId="0DB832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项目颗粒物排放执行《水泥工业大气污染物排放标准》（DB64/1995-2024）表1和表2中排放限值要求。</w:t>
      </w:r>
    </w:p>
    <w:p w14:paraId="5E9BFFA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楷体_GB2312" w:cs="Times New Roman"/>
          <w:b/>
          <w:bCs w:val="0"/>
          <w:color w:val="auto"/>
          <w:kern w:val="2"/>
          <w:sz w:val="32"/>
          <w:szCs w:val="32"/>
          <w:lang w:val="en-US" w:eastAsia="zh-CN" w:bidi="en-US"/>
        </w:rPr>
        <w:t>（二）严格落实《报告表》提出的废水防治措施。</w:t>
      </w:r>
    </w:p>
    <w:p w14:paraId="45FE87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运营期生产废水</w:t>
      </w:r>
      <w:r>
        <w:rPr>
          <w:rFonts w:hint="eastAsia" w:ascii="Times New Roman" w:hAnsi="Times New Roman" w:eastAsia="仿宋_GB2312" w:cs="Times New Roman"/>
          <w:b w:val="0"/>
          <w:bCs/>
          <w:color w:val="auto"/>
          <w:kern w:val="2"/>
          <w:sz w:val="32"/>
          <w:szCs w:val="32"/>
          <w:lang w:val="en-US" w:eastAsia="zh-CN" w:bidi="en-US"/>
        </w:rPr>
        <w:t>循环使用</w:t>
      </w:r>
      <w:r>
        <w:rPr>
          <w:rFonts w:hint="default" w:ascii="Times New Roman" w:hAnsi="Times New Roman" w:eastAsia="仿宋_GB2312" w:cs="Times New Roman"/>
          <w:b w:val="0"/>
          <w:bCs/>
          <w:color w:val="auto"/>
          <w:kern w:val="2"/>
          <w:sz w:val="32"/>
          <w:szCs w:val="32"/>
          <w:lang w:val="en-US" w:eastAsia="zh-CN" w:bidi="en-US"/>
        </w:rPr>
        <w:t>不外排，生活污水经化粪池（10m</w:t>
      </w:r>
      <w:r>
        <w:rPr>
          <w:rFonts w:hint="default" w:ascii="Times New Roman" w:hAnsi="Times New Roman" w:eastAsia="仿宋_GB2312" w:cs="Times New Roman"/>
          <w:b w:val="0"/>
          <w:bCs/>
          <w:color w:val="auto"/>
          <w:kern w:val="2"/>
          <w:sz w:val="32"/>
          <w:szCs w:val="32"/>
          <w:vertAlign w:val="superscript"/>
          <w:lang w:val="en-US" w:eastAsia="zh-CN" w:bidi="en-US"/>
        </w:rPr>
        <w:t>3</w:t>
      </w:r>
      <w:r>
        <w:rPr>
          <w:rFonts w:hint="default" w:ascii="Times New Roman" w:hAnsi="Times New Roman" w:eastAsia="仿宋_GB2312" w:cs="Times New Roman"/>
          <w:b w:val="0"/>
          <w:bCs/>
          <w:color w:val="auto"/>
          <w:kern w:val="2"/>
          <w:sz w:val="32"/>
          <w:szCs w:val="32"/>
          <w:lang w:val="en-US" w:eastAsia="zh-CN" w:bidi="en-US"/>
        </w:rPr>
        <w:t>）处理达到《污水综合排放标准》（GB8978-1996）三级标准及污水处理厂接管标准后通过市政污水管网排入海兴开发区污水处理厂处理。</w:t>
      </w:r>
    </w:p>
    <w:p w14:paraId="355F599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highlight w:val="none"/>
          <w:lang w:val="en-US" w:eastAsia="zh-CN" w:bidi="en-US"/>
        </w:rPr>
      </w:pPr>
      <w:r>
        <w:rPr>
          <w:rFonts w:hint="default" w:ascii="Times New Roman" w:hAnsi="Times New Roman" w:eastAsia="楷体_GB2312" w:cs="Times New Roman"/>
          <w:b/>
          <w:bCs w:val="0"/>
          <w:color w:val="auto"/>
          <w:kern w:val="2"/>
          <w:sz w:val="32"/>
          <w:szCs w:val="32"/>
          <w:highlight w:val="none"/>
          <w:lang w:val="en-US" w:eastAsia="zh-CN" w:bidi="en-US"/>
        </w:rPr>
        <w:t>（三）严格落实《报告表》提出的噪声防治措施。</w:t>
      </w:r>
    </w:p>
    <w:p w14:paraId="411EBD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highlight w:val="none"/>
          <w:lang w:val="en-US" w:eastAsia="zh-CN" w:bidi="en-US"/>
        </w:rPr>
      </w:pPr>
      <w:r>
        <w:rPr>
          <w:rFonts w:hint="default" w:ascii="Times New Roman" w:hAnsi="Times New Roman" w:eastAsia="仿宋_GB2312" w:cs="Times New Roman"/>
          <w:b w:val="0"/>
          <w:bCs/>
          <w:color w:val="auto"/>
          <w:kern w:val="2"/>
          <w:sz w:val="32"/>
          <w:szCs w:val="32"/>
          <w:highlight w:val="none"/>
          <w:lang w:val="en-US" w:eastAsia="zh-CN" w:bidi="en-US"/>
        </w:rPr>
        <w:t>运营期选用低噪设备，采用隔声减振等治理措施，确保噪声排放满足《工业企业厂界环境噪声排放标准》（GB12348-2008）3类标准限值。</w:t>
      </w:r>
    </w:p>
    <w:p w14:paraId="4BDC92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楷体_GB2312" w:cs="Times New Roman"/>
          <w:b/>
          <w:bCs w:val="0"/>
          <w:color w:val="auto"/>
          <w:kern w:val="2"/>
          <w:sz w:val="32"/>
          <w:szCs w:val="32"/>
          <w:lang w:val="en-US" w:eastAsia="zh-CN" w:bidi="en-US"/>
        </w:rPr>
        <w:t>（四）严格落实《报告表》提出的固废防治措施。</w:t>
      </w:r>
    </w:p>
    <w:p w14:paraId="49E090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项目委托第三方专业机构进行维修，维修过程产生的废矿物油由其带走交由有资质单位处置，厂区不落地，不涉及危险废物暂存。运营期固体废物主要为除尘器收尘灰、车间降尘、沉淀池沉渣、试验室废料、生活垃圾。一般工业固体废物包括除尘器收尘灰、车间降尘、沉淀池沉渣、试验室废料，收集后不在厂内贮存，直接回用于混凝土生产线；</w:t>
      </w:r>
      <w:r>
        <w:rPr>
          <w:rFonts w:hint="default" w:ascii="Times New Roman" w:hAnsi="Times New Roman" w:eastAsia="仿宋_GB2312" w:cs="Times New Roman"/>
          <w:b w:val="0"/>
          <w:bCs/>
          <w:color w:val="auto"/>
          <w:kern w:val="2"/>
          <w:sz w:val="32"/>
          <w:szCs w:val="32"/>
          <w:lang w:val="zh-CN" w:eastAsia="zh-CN" w:bidi="en-US"/>
        </w:rPr>
        <w:t>生活垃圾集中收集后交由环卫部门统一清运</w:t>
      </w:r>
      <w:r>
        <w:rPr>
          <w:rFonts w:hint="default" w:ascii="Times New Roman" w:hAnsi="Times New Roman" w:eastAsia="仿宋_GB2312" w:cs="Times New Roman"/>
          <w:b w:val="0"/>
          <w:bCs/>
          <w:color w:val="auto"/>
          <w:kern w:val="2"/>
          <w:sz w:val="32"/>
          <w:szCs w:val="32"/>
          <w:lang w:val="en-US" w:eastAsia="zh-CN" w:bidi="en-US"/>
        </w:rPr>
        <w:t>。</w:t>
      </w:r>
    </w:p>
    <w:p w14:paraId="43EA37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color w:val="auto"/>
          <w:kern w:val="2"/>
          <w:sz w:val="32"/>
          <w:szCs w:val="32"/>
          <w:lang w:val="en-US" w:eastAsia="zh-CN" w:bidi="en-US"/>
        </w:rPr>
      </w:pPr>
      <w:r>
        <w:rPr>
          <w:rFonts w:hint="default" w:ascii="Times New Roman" w:hAnsi="Times New Roman" w:eastAsia="楷体_GB2312" w:cs="Times New Roman"/>
          <w:b/>
          <w:bCs w:val="0"/>
          <w:color w:val="auto"/>
          <w:kern w:val="2"/>
          <w:sz w:val="32"/>
          <w:szCs w:val="32"/>
          <w:lang w:val="en-US" w:eastAsia="zh-CN" w:bidi="en-US"/>
        </w:rPr>
        <w:t>（五）落实“报告表”中提出的其他建议和要求。</w:t>
      </w:r>
    </w:p>
    <w:p w14:paraId="427DD6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color w:val="auto"/>
          <w:kern w:val="2"/>
          <w:sz w:val="32"/>
          <w:szCs w:val="32"/>
          <w:lang w:bidi="en-US"/>
        </w:rPr>
      </w:pPr>
      <w:r>
        <w:rPr>
          <w:rFonts w:hint="default" w:ascii="Times New Roman" w:hAnsi="Times New Roman" w:eastAsia="黑体" w:cs="Times New Roman"/>
          <w:b w:val="0"/>
          <w:bCs/>
          <w:color w:val="auto"/>
          <w:kern w:val="2"/>
          <w:sz w:val="32"/>
          <w:szCs w:val="32"/>
          <w:lang w:bidi="en-US"/>
        </w:rPr>
        <w:t>三、</w:t>
      </w:r>
      <w:r>
        <w:rPr>
          <w:rFonts w:hint="default" w:ascii="Times New Roman" w:hAnsi="Times New Roman" w:eastAsia="黑体" w:cs="Times New Roman"/>
          <w:b w:val="0"/>
          <w:bCs/>
          <w:color w:val="auto"/>
          <w:kern w:val="2"/>
          <w:sz w:val="32"/>
          <w:szCs w:val="32"/>
          <w:lang w:val="en-US" w:eastAsia="zh-CN" w:bidi="en-US"/>
        </w:rPr>
        <w:t>相</w:t>
      </w:r>
      <w:r>
        <w:rPr>
          <w:rFonts w:hint="default" w:ascii="Times New Roman" w:hAnsi="Times New Roman" w:eastAsia="黑体" w:cs="Times New Roman"/>
          <w:b w:val="0"/>
          <w:bCs/>
          <w:color w:val="auto"/>
          <w:kern w:val="2"/>
          <w:sz w:val="32"/>
          <w:szCs w:val="32"/>
          <w:lang w:bidi="en-US"/>
        </w:rPr>
        <w:t>关要求</w:t>
      </w:r>
    </w:p>
    <w:p w14:paraId="418F8D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一）项目建设必须严格执行建设项目环境保护设施与主体工程同时设计、同时施工、同时投入使用的环境保护“三同时”制度，项目竣工投入运行前须按规定办理项目环保竣工验收，验收合格后方可投入生产，并将环保竣工验收材料报生态环境主管部门进行备案。</w:t>
      </w:r>
    </w:p>
    <w:p w14:paraId="08A128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二）本批复仅限于《报告表》确定的工程内容，建设项目的地点、性质、规模、采用的工艺或者防治污染、防止生态破坏的措施等发生重大变动的，建设单位应当重新报批建设项目的环境影响评价文件。《报告表》自批准之日起，如超过5年方决定工程开工建设的，《报告表》应当报我局重新审核。</w:t>
      </w:r>
    </w:p>
    <w:p w14:paraId="2E12A6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（三）建设项目须依法依规取得相关部门合法手续后，方可开工建设。</w:t>
      </w:r>
    </w:p>
    <w:p w14:paraId="578140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val="0"/>
          <w:bCs/>
          <w:color w:val="auto"/>
          <w:kern w:val="2"/>
          <w:sz w:val="32"/>
          <w:szCs w:val="32"/>
          <w:lang w:val="en-US" w:eastAsia="zh-CN" w:bidi="en-US"/>
        </w:rPr>
        <w:t>（四）海原县生态环境保护执法大队负责该项目环境保护“三同时”监督工作。</w:t>
      </w:r>
    </w:p>
    <w:p w14:paraId="3C993F1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baseline"/>
        <w:rPr>
          <w:rFonts w:hint="default" w:ascii="Times New Roman" w:hAnsi="Times New Roman" w:eastAsia="宋体" w:cs="Times New Roman"/>
          <w:b w:val="0"/>
          <w:bCs w:val="0"/>
          <w:i w:val="0"/>
          <w:iCs w:val="0"/>
          <w:caps w:val="0"/>
          <w:color w:val="auto"/>
          <w:spacing w:val="0"/>
          <w:sz w:val="32"/>
          <w:szCs w:val="32"/>
        </w:rPr>
      </w:pPr>
      <w:r>
        <w:rPr>
          <w:rFonts w:hint="default" w:ascii="Times New Roman" w:hAnsi="Times New Roman" w:eastAsia="仿宋_GB2312" w:cs="Times New Roman"/>
          <w:b w:val="0"/>
          <w:bCs w:val="0"/>
          <w:color w:val="auto"/>
          <w:sz w:val="32"/>
          <w:szCs w:val="32"/>
          <w:lang w:val="en-US" w:eastAsia="zh-CN" w:bidi="en-US"/>
        </w:rPr>
        <w:t>（五）建设单位应建立健全环境管理制度和环保岗位责任制。设立专人负责项目运营期环境管理工作，加强设施的日常维护。</w:t>
      </w:r>
    </w:p>
    <w:p w14:paraId="60F4B8B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default" w:ascii="Times New Roman" w:hAnsi="Times New Roman" w:eastAsia="宋体" w:cs="Times New Roman"/>
          <w:b w:val="0"/>
          <w:bCs w:val="0"/>
          <w:i w:val="0"/>
          <w:iCs w:val="0"/>
          <w:caps w:val="0"/>
          <w:color w:val="auto"/>
          <w:spacing w:val="0"/>
          <w:sz w:val="32"/>
          <w:szCs w:val="32"/>
          <w:shd w:val="clear" w:fill="FFFFFF"/>
          <w:lang w:val="en-US" w:eastAsia="zh-CN"/>
        </w:rPr>
      </w:pPr>
    </w:p>
    <w:p w14:paraId="04809ED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default" w:ascii="Times New Roman" w:hAnsi="Times New Roman" w:eastAsia="宋体" w:cs="Times New Roman"/>
          <w:b w:val="0"/>
          <w:bCs w:val="0"/>
          <w:i w:val="0"/>
          <w:iCs w:val="0"/>
          <w:caps w:val="0"/>
          <w:color w:val="auto"/>
          <w:spacing w:val="0"/>
          <w:sz w:val="32"/>
          <w:szCs w:val="32"/>
          <w:shd w:val="clear" w:fill="FFFFFF"/>
          <w:lang w:val="en-US" w:eastAsia="zh-CN"/>
        </w:rPr>
      </w:pPr>
    </w:p>
    <w:p w14:paraId="620AC80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default" w:ascii="Times New Roman" w:hAnsi="Times New Roman" w:eastAsia="宋体" w:cs="Times New Roman"/>
          <w:b w:val="0"/>
          <w:bCs w:val="0"/>
          <w:i w:val="0"/>
          <w:iCs w:val="0"/>
          <w:caps w:val="0"/>
          <w:color w:val="auto"/>
          <w:spacing w:val="0"/>
          <w:sz w:val="32"/>
          <w:szCs w:val="32"/>
          <w:shd w:val="clear" w:fill="FFFFFF"/>
          <w:lang w:val="en-US" w:eastAsia="zh-CN"/>
        </w:rPr>
      </w:pPr>
    </w:p>
    <w:p w14:paraId="7B5C258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p>
    <w:p w14:paraId="5D2B1E0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center"/>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eastAsia" w:eastAsia="仿宋_GB2312" w:cs="Times New Roman"/>
          <w:b w:val="0"/>
          <w:bCs w:val="0"/>
          <w:i w:val="0"/>
          <w:iCs w:val="0"/>
          <w:caps w:val="0"/>
          <w:color w:val="auto"/>
          <w:spacing w:val="0"/>
          <w:sz w:val="32"/>
          <w:szCs w:val="32"/>
          <w:shd w:val="clear" w:fill="FFFFFF"/>
          <w:lang w:val="en-US" w:eastAsia="zh-CN"/>
        </w:rPr>
        <w:t xml:space="preserve">      </w:t>
      </w: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中卫</w:t>
      </w:r>
      <w:r>
        <w:rPr>
          <w:rFonts w:hint="default" w:ascii="Times New Roman" w:hAnsi="Times New Roman" w:eastAsia="仿宋_GB2312" w:cs="Times New Roman"/>
          <w:b w:val="0"/>
          <w:bCs w:val="0"/>
          <w:i w:val="0"/>
          <w:iCs w:val="0"/>
          <w:caps w:val="0"/>
          <w:color w:val="auto"/>
          <w:spacing w:val="0"/>
          <w:sz w:val="32"/>
          <w:szCs w:val="32"/>
          <w:shd w:val="clear" w:fill="FFFFFF"/>
        </w:rPr>
        <w:t>市</w:t>
      </w: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生态环境局海原县分局</w:t>
      </w:r>
    </w:p>
    <w:p w14:paraId="60CE0D0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center"/>
        <w:rPr>
          <w:rFonts w:hint="default" w:ascii="Times New Roman" w:hAnsi="Times New Roman" w:eastAsia="仿宋_GB2312" w:cs="Times New Roman"/>
          <w:b w:val="0"/>
          <w:bCs w:val="0"/>
          <w:i w:val="0"/>
          <w:iCs w:val="0"/>
          <w:caps w:val="0"/>
          <w:color w:val="auto"/>
          <w:spacing w:val="0"/>
          <w:sz w:val="32"/>
          <w:szCs w:val="32"/>
          <w:highlight w:val="none"/>
          <w:shd w:val="clear" w:fill="FFFFFF"/>
        </w:rPr>
      </w:pPr>
      <w:r>
        <w:rPr>
          <w:rFonts w:hint="eastAsia" w:eastAsia="仿宋_GB2312" w:cs="Times New Roman"/>
          <w:b w:val="0"/>
          <w:bCs w:val="0"/>
          <w:i w:val="0"/>
          <w:iCs w:val="0"/>
          <w:caps w:val="0"/>
          <w:color w:val="auto"/>
          <w:spacing w:val="0"/>
          <w:sz w:val="32"/>
          <w:szCs w:val="32"/>
          <w:highlight w:val="none"/>
          <w:shd w:val="clear" w:fill="FFFFFF"/>
          <w:lang w:val="en-US" w:eastAsia="zh-CN"/>
        </w:rPr>
        <w:t xml:space="preserve">   </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202</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6</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年</w:t>
      </w:r>
      <w:r>
        <w:rPr>
          <w:rFonts w:hint="eastAsia" w:eastAsia="仿宋_GB2312" w:cs="Times New Roman"/>
          <w:b w:val="0"/>
          <w:bCs w:val="0"/>
          <w:i w:val="0"/>
          <w:iCs w:val="0"/>
          <w:caps w:val="0"/>
          <w:color w:val="auto"/>
          <w:spacing w:val="0"/>
          <w:sz w:val="32"/>
          <w:szCs w:val="32"/>
          <w:highlight w:val="none"/>
          <w:shd w:val="clear" w:fill="FFFFFF"/>
          <w:lang w:val="en-US" w:eastAsia="zh-CN"/>
        </w:rPr>
        <w:t>10</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月</w:t>
      </w:r>
      <w:r>
        <w:rPr>
          <w:rFonts w:hint="eastAsia" w:eastAsia="仿宋_GB2312" w:cs="Times New Roman"/>
          <w:b w:val="0"/>
          <w:bCs w:val="0"/>
          <w:i w:val="0"/>
          <w:iCs w:val="0"/>
          <w:caps w:val="0"/>
          <w:color w:val="auto"/>
          <w:spacing w:val="0"/>
          <w:sz w:val="32"/>
          <w:szCs w:val="32"/>
          <w:highlight w:val="none"/>
          <w:shd w:val="clear" w:fill="FFFFFF"/>
          <w:lang w:val="en-US" w:eastAsia="zh-CN"/>
        </w:rPr>
        <w:t>10</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日</w:t>
      </w:r>
    </w:p>
    <w:p w14:paraId="0907C9B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002E4C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0CD19C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5AD7ABD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10C563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7A9EF91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6FE5157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165DB3B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512F473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1ED8F4D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6AF8BA5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5FC0280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39BC813B">
      <w:pPr>
        <w:tabs>
          <w:tab w:val="left" w:pos="7655"/>
        </w:tabs>
        <w:spacing w:line="520" w:lineRule="exact"/>
        <w:ind w:firstLine="140" w:firstLineChars="50"/>
        <w:rPr>
          <w:rFonts w:hint="default" w:ascii="Times New Roman" w:hAnsi="Times New Roman" w:cs="Times New Roman"/>
          <w:highlight w:val="none"/>
        </w:rPr>
      </w:pPr>
      <w:r>
        <w:rPr>
          <w:rFonts w:hint="default" w:ascii="Times New Roman" w:hAnsi="Times New Roman" w:eastAsia="仿宋_GB2312" w:cs="Times New Roman"/>
          <w:b w:val="0"/>
          <w:bCs w:val="0"/>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332740</wp:posOffset>
                </wp:positionV>
                <wp:extent cx="580072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800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6.2pt;height:0pt;width:456.75pt;z-index:251660288;mso-width-relative:page;mso-height-relative:page;" filled="f" stroked="t" coordsize="21600,21600" o:gfxdata="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X5Xd7UAAAABgEAAA8AAAAAAAAAAQAgAAAAIgAAAGRycy9kb3ducmV2LnhtbFBLAQIUABQA&#10;AAAIAIdO4kBkThQQ9AEAAOQDAAAOAAAAAAAAAAEAIAAAACMBAABkcnMvZTJvRG9jLnhtbFBLBQYA&#10;AAAABgAGAFkBAACJBQAAAAA=&#10;">
                <v:fill on="f" focussize="0,0"/>
                <v:stroke color="#000000" joinstyle="round"/>
                <v:imagedata o:title=""/>
                <o:lock v:ext="edit" aspectratio="f"/>
              </v:line>
            </w:pict>
          </mc:Fallback>
        </mc:AlternateContent>
      </w:r>
      <w:r>
        <w:rPr>
          <w:rFonts w:hint="default" w:ascii="Times New Roman" w:hAnsi="Times New Roman" w:eastAsia="仿宋_GB2312" w:cs="Times New Roman"/>
          <w:b w:val="0"/>
          <w:bCs w:val="0"/>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80072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5800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pt;height:0pt;width:456.75pt;z-index:251659264;mso-width-relative:page;mso-height-relative:page;" filled="f" stroked="t" coordsize="21600,21600" o:gfxdata="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FEYKu0wAAAAQBAAAPAAAAAAAAAAEAIAAAACIAAABkcnMvZG93bnJldi54bWxQSwECFAAUAAAA&#10;CACHTuJAV/O4p/MBAADkAwAADgAAAAAAAAABACAAAAAiAQAAZHJzL2Uyb0RvYy54bWxQSwUGAAAA&#10;AAYABgBZAQAAhwUAAAAA&#10;">
                <v:fill on="f" focussize="0,0"/>
                <v:stroke color="#000000" joinstyle="round"/>
                <v:imagedata o:title=""/>
                <o:lock v:ext="edit" aspectratio="f"/>
              </v:line>
            </w:pict>
          </mc:Fallback>
        </mc:AlternateContent>
      </w:r>
      <w:r>
        <w:rPr>
          <w:rFonts w:hint="default" w:ascii="Times New Roman" w:hAnsi="Times New Roman" w:eastAsia="仿宋_GB2312" w:cs="Times New Roman"/>
          <w:b w:val="0"/>
          <w:bCs w:val="0"/>
          <w:kern w:val="0"/>
          <w:sz w:val="28"/>
          <w:szCs w:val="28"/>
        </w:rPr>
        <w:t xml:space="preserve">中卫市生态环境局海原县分局   </w:t>
      </w:r>
      <w:r>
        <w:rPr>
          <w:rFonts w:hint="default" w:ascii="Times New Roman" w:hAnsi="Times New Roman" w:eastAsia="仿宋_GB2312" w:cs="Times New Roman"/>
          <w:b w:val="0"/>
          <w:bCs w:val="0"/>
          <w:kern w:val="0"/>
          <w:sz w:val="28"/>
          <w:szCs w:val="28"/>
          <w:lang w:val="en-US" w:eastAsia="zh-CN"/>
        </w:rPr>
        <w:t xml:space="preserve">     </w:t>
      </w:r>
      <w:r>
        <w:rPr>
          <w:rFonts w:hint="default" w:ascii="Times New Roman" w:hAnsi="Times New Roman" w:eastAsia="仿宋_GB2312" w:cs="Times New Roman"/>
          <w:b w:val="0"/>
          <w:bCs w:val="0"/>
          <w:kern w:val="0"/>
          <w:sz w:val="28"/>
          <w:szCs w:val="28"/>
          <w:highlight w:val="none"/>
          <w:lang w:val="en-US" w:eastAsia="zh-CN"/>
        </w:rPr>
        <w:t xml:space="preserve">        </w:t>
      </w:r>
      <w:r>
        <w:rPr>
          <w:rFonts w:hint="default" w:ascii="Times New Roman" w:hAnsi="Times New Roman" w:eastAsia="仿宋_GB2312" w:cs="Times New Roman"/>
          <w:b w:val="0"/>
          <w:bCs w:val="0"/>
          <w:kern w:val="0"/>
          <w:sz w:val="28"/>
          <w:szCs w:val="28"/>
          <w:highlight w:val="none"/>
        </w:rPr>
        <w:t>202</w:t>
      </w:r>
      <w:r>
        <w:rPr>
          <w:rFonts w:hint="default" w:ascii="Times New Roman" w:hAnsi="Times New Roman" w:eastAsia="仿宋_GB2312" w:cs="Times New Roman"/>
          <w:b w:val="0"/>
          <w:bCs w:val="0"/>
          <w:kern w:val="0"/>
          <w:sz w:val="28"/>
          <w:szCs w:val="28"/>
          <w:highlight w:val="none"/>
          <w:lang w:val="en-US" w:eastAsia="zh-CN"/>
        </w:rPr>
        <w:t>6</w:t>
      </w:r>
      <w:r>
        <w:rPr>
          <w:rFonts w:hint="default" w:ascii="Times New Roman" w:hAnsi="Times New Roman" w:eastAsia="仿宋_GB2312" w:cs="Times New Roman"/>
          <w:b w:val="0"/>
          <w:bCs w:val="0"/>
          <w:kern w:val="0"/>
          <w:sz w:val="28"/>
          <w:szCs w:val="28"/>
          <w:highlight w:val="none"/>
        </w:rPr>
        <w:t>年</w:t>
      </w:r>
      <w:r>
        <w:rPr>
          <w:rFonts w:hint="eastAsia" w:eastAsia="仿宋_GB2312" w:cs="Times New Roman"/>
          <w:b w:val="0"/>
          <w:bCs w:val="0"/>
          <w:kern w:val="0"/>
          <w:sz w:val="28"/>
          <w:szCs w:val="28"/>
          <w:highlight w:val="none"/>
          <w:lang w:val="en-US" w:eastAsia="zh-CN"/>
        </w:rPr>
        <w:t>10</w:t>
      </w:r>
      <w:r>
        <w:rPr>
          <w:rFonts w:hint="default" w:ascii="Times New Roman" w:hAnsi="Times New Roman" w:eastAsia="仿宋_GB2312" w:cs="Times New Roman"/>
          <w:b w:val="0"/>
          <w:bCs w:val="0"/>
          <w:kern w:val="0"/>
          <w:sz w:val="28"/>
          <w:szCs w:val="28"/>
          <w:highlight w:val="none"/>
        </w:rPr>
        <w:t>月</w:t>
      </w:r>
      <w:r>
        <w:rPr>
          <w:rFonts w:hint="eastAsia" w:eastAsia="仿宋_GB2312" w:cs="Times New Roman"/>
          <w:b w:val="0"/>
          <w:bCs w:val="0"/>
          <w:kern w:val="0"/>
          <w:sz w:val="28"/>
          <w:szCs w:val="28"/>
          <w:highlight w:val="none"/>
          <w:lang w:val="en-US" w:eastAsia="zh-CN"/>
        </w:rPr>
        <w:t>10</w:t>
      </w:r>
      <w:bookmarkStart w:id="0" w:name="_GoBack"/>
      <w:bookmarkEnd w:id="0"/>
      <w:r>
        <w:rPr>
          <w:rFonts w:hint="default" w:ascii="Times New Roman" w:hAnsi="Times New Roman" w:eastAsia="仿宋_GB2312" w:cs="Times New Roman"/>
          <w:b w:val="0"/>
          <w:bCs w:val="0"/>
          <w:kern w:val="0"/>
          <w:sz w:val="28"/>
          <w:szCs w:val="28"/>
          <w:highlight w:val="none"/>
        </w:rPr>
        <w:t>日印发</w:t>
      </w:r>
    </w:p>
    <w:sectPr>
      <w:pgSz w:w="11906" w:h="16838"/>
      <w:pgMar w:top="1440" w:right="1474" w:bottom="124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altName w:val="方正书宋_GBK"/>
    <w:panose1 w:val="02010600030101010101"/>
    <w:charset w:val="80"/>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国标楷体">
    <w:panose1 w:val="02000500000000000000"/>
    <w:charset w:val="86"/>
    <w:family w:val="auto"/>
    <w:pitch w:val="default"/>
    <w:sig w:usb0="00000001" w:usb1="08000000" w:usb2="00000000" w:usb3="00000000" w:csb0="00060007"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Music">
    <w:panose1 w:val="020B0502040504020204"/>
    <w:charset w:val="00"/>
    <w:family w:val="auto"/>
    <w:pitch w:val="default"/>
    <w:sig w:usb0="00000003" w:usb1="02006000" w:usb2="01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BC5388"/>
    <w:multiLevelType w:val="singleLevel"/>
    <w:tmpl w:val="BCBC538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969AD"/>
    <w:rsid w:val="00F31F0D"/>
    <w:rsid w:val="029B6D3E"/>
    <w:rsid w:val="05594913"/>
    <w:rsid w:val="06D870D9"/>
    <w:rsid w:val="0A5A33E4"/>
    <w:rsid w:val="0BB7550F"/>
    <w:rsid w:val="0ECA4A1A"/>
    <w:rsid w:val="11502A80"/>
    <w:rsid w:val="12B72298"/>
    <w:rsid w:val="1461070D"/>
    <w:rsid w:val="15130EC7"/>
    <w:rsid w:val="159266A5"/>
    <w:rsid w:val="17571954"/>
    <w:rsid w:val="1A7F4006"/>
    <w:rsid w:val="1B216501"/>
    <w:rsid w:val="1BA60C44"/>
    <w:rsid w:val="1CF33ECD"/>
    <w:rsid w:val="1D991D9B"/>
    <w:rsid w:val="1EFB7EE8"/>
    <w:rsid w:val="1F2760B0"/>
    <w:rsid w:val="208005A2"/>
    <w:rsid w:val="21A77AE0"/>
    <w:rsid w:val="21C30312"/>
    <w:rsid w:val="23983A20"/>
    <w:rsid w:val="25C725E1"/>
    <w:rsid w:val="28D41056"/>
    <w:rsid w:val="291C47AB"/>
    <w:rsid w:val="2A047719"/>
    <w:rsid w:val="2B664B96"/>
    <w:rsid w:val="2B786611"/>
    <w:rsid w:val="2B994ABB"/>
    <w:rsid w:val="2BDA2E28"/>
    <w:rsid w:val="2E304183"/>
    <w:rsid w:val="2F2B74F6"/>
    <w:rsid w:val="30FC739C"/>
    <w:rsid w:val="354D6418"/>
    <w:rsid w:val="37E33064"/>
    <w:rsid w:val="387B56F8"/>
    <w:rsid w:val="38B247E4"/>
    <w:rsid w:val="399C089A"/>
    <w:rsid w:val="3A485400"/>
    <w:rsid w:val="3AE72E6B"/>
    <w:rsid w:val="3BC136BC"/>
    <w:rsid w:val="3C5C33E5"/>
    <w:rsid w:val="3D0C4E0B"/>
    <w:rsid w:val="3DDB658B"/>
    <w:rsid w:val="3E300685"/>
    <w:rsid w:val="3EC86B10"/>
    <w:rsid w:val="3ECD1700"/>
    <w:rsid w:val="41285F8B"/>
    <w:rsid w:val="416A65A4"/>
    <w:rsid w:val="420A743F"/>
    <w:rsid w:val="435E1880"/>
    <w:rsid w:val="439B4196"/>
    <w:rsid w:val="452E61AE"/>
    <w:rsid w:val="45660E30"/>
    <w:rsid w:val="458D460F"/>
    <w:rsid w:val="4670225D"/>
    <w:rsid w:val="479559FD"/>
    <w:rsid w:val="483E2271"/>
    <w:rsid w:val="49C8030C"/>
    <w:rsid w:val="49F44C5D"/>
    <w:rsid w:val="4AEE309E"/>
    <w:rsid w:val="4B541076"/>
    <w:rsid w:val="4BD905AE"/>
    <w:rsid w:val="4C485734"/>
    <w:rsid w:val="4C4D2D4A"/>
    <w:rsid w:val="4D1200F4"/>
    <w:rsid w:val="4D5A74CD"/>
    <w:rsid w:val="4D7F33D7"/>
    <w:rsid w:val="4E8A5B90"/>
    <w:rsid w:val="51893482"/>
    <w:rsid w:val="53D855EF"/>
    <w:rsid w:val="54662BFB"/>
    <w:rsid w:val="548425E3"/>
    <w:rsid w:val="55020B76"/>
    <w:rsid w:val="58EB7B73"/>
    <w:rsid w:val="59D40607"/>
    <w:rsid w:val="5BC8419B"/>
    <w:rsid w:val="5BF22FC6"/>
    <w:rsid w:val="5DFF172D"/>
    <w:rsid w:val="5E4B1FB5"/>
    <w:rsid w:val="5FF33CEB"/>
    <w:rsid w:val="6267026A"/>
    <w:rsid w:val="62F45876"/>
    <w:rsid w:val="6408782B"/>
    <w:rsid w:val="644834C9"/>
    <w:rsid w:val="66157F52"/>
    <w:rsid w:val="666C01B7"/>
    <w:rsid w:val="66A64089"/>
    <w:rsid w:val="6A59002F"/>
    <w:rsid w:val="6A7D8B7F"/>
    <w:rsid w:val="6C12102A"/>
    <w:rsid w:val="6D925F31"/>
    <w:rsid w:val="6E296D1B"/>
    <w:rsid w:val="6E985C4F"/>
    <w:rsid w:val="6FCD4BE4"/>
    <w:rsid w:val="6FFE9A33"/>
    <w:rsid w:val="70103B08"/>
    <w:rsid w:val="713D3EEF"/>
    <w:rsid w:val="71FE44CA"/>
    <w:rsid w:val="72C5C513"/>
    <w:rsid w:val="75E55C1E"/>
    <w:rsid w:val="780132C5"/>
    <w:rsid w:val="786FE0A9"/>
    <w:rsid w:val="79B46241"/>
    <w:rsid w:val="7BDEE9B9"/>
    <w:rsid w:val="7E9006F1"/>
    <w:rsid w:val="7EE7A4CB"/>
    <w:rsid w:val="7F7BCDB5"/>
    <w:rsid w:val="7FA51BD1"/>
    <w:rsid w:val="7FC9F402"/>
    <w:rsid w:val="7FEA3E31"/>
    <w:rsid w:val="A5EF3CA6"/>
    <w:rsid w:val="AF159A94"/>
    <w:rsid w:val="AF7F35C3"/>
    <w:rsid w:val="CC7DEFC6"/>
    <w:rsid w:val="D7FBCC06"/>
    <w:rsid w:val="DCB74E27"/>
    <w:rsid w:val="E5D772DF"/>
    <w:rsid w:val="E7B32C26"/>
    <w:rsid w:val="E7CF511C"/>
    <w:rsid w:val="E7FE9C2C"/>
    <w:rsid w:val="EF775454"/>
    <w:rsid w:val="F7DC9C2E"/>
    <w:rsid w:val="F9BD95F2"/>
    <w:rsid w:val="FDFFF4F4"/>
    <w:rsid w:val="FF7F0F40"/>
    <w:rsid w:val="FFBE2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 w:cs="仿宋"/>
      <w:b/>
      <w:bCs/>
      <w:kern w:val="16"/>
      <w:sz w:val="28"/>
      <w:szCs w:val="28"/>
      <w:lang w:val="en-US" w:eastAsia="zh-CN" w:bidi="ar-SA"/>
    </w:rPr>
  </w:style>
  <w:style w:type="paragraph" w:styleId="2">
    <w:name w:val="heading 2"/>
    <w:basedOn w:val="1"/>
    <w:next w:val="1"/>
    <w:qFormat/>
    <w:uiPriority w:val="0"/>
    <w:pPr>
      <w:keepNext/>
      <w:keepLines/>
      <w:spacing w:before="260" w:beforeLines="0" w:after="260" w:afterLines="0" w:line="415" w:lineRule="auto"/>
      <w:outlineLvl w:val="1"/>
    </w:pPr>
    <w:rPr>
      <w:rFonts w:ascii="Arial" w:hAnsi="Arial" w:eastAsia="黑体"/>
      <w:sz w:val="32"/>
      <w:szCs w:val="32"/>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kern w:val="0"/>
      <w:sz w:val="27"/>
      <w:szCs w:val="27"/>
      <w:lang w:val="en-US" w:eastAsia="zh-CN" w:bidi="ar"/>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4">
    <w:name w:val="Normal Indent"/>
    <w:basedOn w:val="1"/>
    <w:next w:val="5"/>
    <w:unhideWhenUsed/>
    <w:qFormat/>
    <w:uiPriority w:val="0"/>
    <w:pPr>
      <w:ind w:firstLine="420" w:firstLineChars="200"/>
    </w:pPr>
  </w:style>
  <w:style w:type="paragraph" w:customStyle="1" w:styleId="5">
    <w:name w:val="正文1"/>
    <w:basedOn w:val="1"/>
    <w:next w:val="1"/>
    <w:qFormat/>
    <w:uiPriority w:val="0"/>
    <w:pPr>
      <w:spacing w:line="360" w:lineRule="auto"/>
      <w:ind w:firstLine="480" w:firstLineChars="200"/>
    </w:pPr>
    <w:rPr>
      <w:kern w:val="0"/>
      <w:sz w:val="20"/>
      <w:szCs w:val="20"/>
    </w:rPr>
  </w:style>
  <w:style w:type="paragraph" w:styleId="6">
    <w:name w:val="index 5"/>
    <w:basedOn w:val="1"/>
    <w:next w:val="1"/>
    <w:qFormat/>
    <w:uiPriority w:val="0"/>
    <w:pPr>
      <w:ind w:left="1680"/>
    </w:pPr>
  </w:style>
  <w:style w:type="paragraph" w:styleId="7">
    <w:name w:val="Body Text Indent"/>
    <w:basedOn w:val="1"/>
    <w:next w:val="8"/>
    <w:qFormat/>
    <w:uiPriority w:val="0"/>
    <w:pPr>
      <w:autoSpaceDE w:val="0"/>
      <w:autoSpaceDN w:val="0"/>
      <w:adjustRightInd w:val="0"/>
      <w:spacing w:line="360" w:lineRule="auto"/>
      <w:ind w:firstLine="480" w:firstLineChars="200"/>
    </w:pPr>
    <w:rPr>
      <w:rFonts w:ascii="宋体" w:hAnsi="宋体"/>
      <w:kern w:val="0"/>
      <w:sz w:val="24"/>
      <w:szCs w:val="21"/>
    </w:rPr>
  </w:style>
  <w:style w:type="paragraph" w:customStyle="1" w:styleId="8">
    <w:name w:val="样式 正文文本缩进 + 行距: 1.5 倍行距"/>
    <w:basedOn w:val="7"/>
    <w:autoRedefine/>
    <w:qFormat/>
    <w:uiPriority w:val="0"/>
    <w:pPr>
      <w:ind w:left="90" w:leftChars="32" w:firstLine="560" w:firstLineChars="200"/>
    </w:pPr>
    <w:rPr>
      <w:rFonts w:ascii="Times New Roman" w:cs="宋体"/>
    </w:rPr>
  </w:style>
  <w:style w:type="paragraph" w:styleId="9">
    <w:name w:val="footer"/>
    <w:basedOn w:val="1"/>
    <w:next w:val="1"/>
    <w:qFormat/>
    <w:uiPriority w:val="0"/>
    <w:pPr>
      <w:tabs>
        <w:tab w:val="center" w:pos="4153"/>
        <w:tab w:val="right" w:pos="8306"/>
      </w:tabs>
      <w:snapToGrid w:val="0"/>
      <w:jc w:val="left"/>
    </w:pPr>
    <w:rPr>
      <w:sz w:val="18"/>
      <w:szCs w:val="18"/>
    </w:rPr>
  </w:style>
  <w:style w:type="paragraph" w:styleId="10">
    <w:name w:val="index heading"/>
    <w:basedOn w:val="1"/>
    <w:next w:val="11"/>
    <w:qFormat/>
    <w:uiPriority w:val="0"/>
    <w:rPr>
      <w:rFonts w:ascii="Arial" w:hAnsi="Arial"/>
    </w:rPr>
  </w:style>
  <w:style w:type="paragraph" w:styleId="11">
    <w:name w:val="index 1"/>
    <w:basedOn w:val="1"/>
    <w:next w:val="1"/>
    <w:qFormat/>
    <w:uiPriority w:val="0"/>
    <w:pPr>
      <w:adjustRightInd w:val="0"/>
      <w:spacing w:line="240" w:lineRule="atLeast"/>
      <w:jc w:val="center"/>
      <w:textAlignment w:val="baseline"/>
    </w:pPr>
    <w:rPr>
      <w:rFonts w:ascii="宋体" w:hAnsi="宋体"/>
      <w:kern w:val="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1"/>
    <w:next w:val="1"/>
    <w:qFormat/>
    <w:uiPriority w:val="0"/>
    <w:pPr>
      <w:spacing w:after="120" w:line="240" w:lineRule="auto"/>
      <w:ind w:left="420" w:leftChars="200" w:firstLine="420"/>
    </w:pPr>
    <w:rPr>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paragraph" w:customStyle="1" w:styleId="18">
    <w:name w:val="表格"/>
    <w:basedOn w:val="4"/>
    <w:next w:val="1"/>
    <w:autoRedefine/>
    <w:qFormat/>
    <w:uiPriority w:val="0"/>
    <w:pPr>
      <w:adjustRightInd w:val="0"/>
      <w:snapToGrid w:val="0"/>
      <w:spacing w:beforeLines="10" w:afterLines="10" w:line="259" w:lineRule="auto"/>
      <w:jc w:val="center"/>
    </w:pPr>
    <w:rPr>
      <w:rFonts w:ascii="宋体"/>
      <w:kern w:val="0"/>
      <w:szCs w:val="20"/>
    </w:rPr>
  </w:style>
  <w:style w:type="paragraph" w:customStyle="1" w:styleId="19">
    <w:name w:val="Table Text"/>
    <w:basedOn w:val="1"/>
    <w:autoRedefine/>
    <w:semiHidden/>
    <w:qFormat/>
    <w:uiPriority w:val="0"/>
    <w:rPr>
      <w:rFonts w:ascii="宋体" w:hAnsi="宋体" w:eastAsia="宋体" w:cs="宋体"/>
      <w:sz w:val="24"/>
      <w:szCs w:val="24"/>
      <w:lang w:val="en-US" w:eastAsia="en-US" w:bidi="ar-SA"/>
    </w:rPr>
  </w:style>
  <w:style w:type="paragraph" w:customStyle="1" w:styleId="20">
    <w:name w:val="正文首行缩进 21"/>
    <w:basedOn w:val="7"/>
    <w:next w:val="1"/>
    <w:autoRedefine/>
    <w:qFormat/>
    <w:uiPriority w:val="0"/>
    <w:pPr>
      <w:spacing w:before="100" w:beforeAutospacing="1"/>
      <w:ind w:firstLine="420"/>
    </w:pPr>
    <w:rPr>
      <w:rFonts w:cs="宋体"/>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2311</Words>
  <Characters>2467</Characters>
  <Lines>0</Lines>
  <Paragraphs>0</Paragraphs>
  <TotalTime>2</TotalTime>
  <ScaleCrop>false</ScaleCrop>
  <LinksUpToDate>false</LinksUpToDate>
  <CharactersWithSpaces>2483</CharactersWithSpaces>
  <Application>WPS Office_12.8.2.19825_F1E327BC-269C-435d-A152-05C5408002CA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2024-05-11T00:33:00Z</dcterms:created>
  <dc:creator>Administrator</dc:creator>
  <cp:lastModifiedBy>user</cp:lastModifiedBy>
  <dcterms:modified xsi:type="dcterms:W3CDTF">2026-10-10T14:45:12Z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2052-12.8.2.19825</vt:lpwstr>
  </property>
  <property fmtid="{D5CDD505-2E9C-101B-9397-08002B2CF9AE}" pid="3" name="ICV">
    <vt:lpwstr>E421E3CD2DBF4BE8A6431F76398E21C2_12</vt:lpwstr>
  </property>
  <property fmtid="{D5CDD505-2E9C-101B-9397-08002B2CF9AE}" pid="4" name="KSOTemplateDocerSaveRecord">
    <vt:lpwstr>eyJoZGlkIjoiNTI1MGVhNDBhNGRjY2E4MzM0OWMyYTI0ZmY0MzM3ZTYiLCJ1c2VySWQiOiIzMDk2NDI1MzEifQ==</vt:lpwstr>
  </property>
</Properties>
</file>